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74" w:rsidRDefault="00497A9A" w:rsidP="007E7374">
      <w:pPr>
        <w:jc w:val="center"/>
        <w:rPr>
          <w:b/>
          <w:sz w:val="20"/>
          <w:szCs w:val="20"/>
          <w:u w:val="single"/>
        </w:rPr>
      </w:pPr>
      <w:r>
        <w:rPr>
          <w:b/>
          <w:sz w:val="20"/>
          <w:szCs w:val="20"/>
          <w:u w:val="single"/>
        </w:rPr>
        <w:t xml:space="preserve"> </w:t>
      </w:r>
      <w:r w:rsidR="00392E5C">
        <w:rPr>
          <w:b/>
          <w:sz w:val="20"/>
          <w:szCs w:val="20"/>
          <w:u w:val="single"/>
        </w:rPr>
        <w:t>MONOSACHARIDY</w:t>
      </w:r>
    </w:p>
    <w:p w:rsidR="00151FC4" w:rsidRDefault="00151FC4" w:rsidP="00392E5C">
      <w:pPr>
        <w:rPr>
          <w:sz w:val="20"/>
          <w:szCs w:val="20"/>
        </w:rPr>
      </w:pPr>
    </w:p>
    <w:p w:rsidR="00392E5C" w:rsidRDefault="00D7296B" w:rsidP="008A7B10">
      <w:pPr>
        <w:jc w:val="both"/>
        <w:rPr>
          <w:sz w:val="20"/>
          <w:szCs w:val="20"/>
        </w:rPr>
      </w:pPr>
      <w:r>
        <w:rPr>
          <w:b/>
          <w:sz w:val="20"/>
          <w:szCs w:val="20"/>
        </w:rPr>
        <w:t>Sacharidy</w:t>
      </w:r>
      <w:r>
        <w:rPr>
          <w:sz w:val="20"/>
          <w:szCs w:val="20"/>
        </w:rPr>
        <w:t xml:space="preserve"> –</w:t>
      </w:r>
      <w:r w:rsidR="008A7B10">
        <w:rPr>
          <w:sz w:val="20"/>
          <w:szCs w:val="20"/>
        </w:rPr>
        <w:t xml:space="preserve"> sloučeniny uhlíku, vodíku a kyslíku, které obsahují charakteristickou hydroxylovou skupinu OH. Další charakteristickou skupinou může být aldehydová skupina, jedná se pak o </w:t>
      </w:r>
      <w:r w:rsidR="008A7B10">
        <w:rPr>
          <w:b/>
          <w:sz w:val="20"/>
          <w:szCs w:val="20"/>
        </w:rPr>
        <w:t>polyhydroxyaldehydy</w:t>
      </w:r>
      <w:r w:rsidR="008A7B10">
        <w:rPr>
          <w:sz w:val="20"/>
          <w:szCs w:val="20"/>
        </w:rPr>
        <w:t xml:space="preserve">, případně ketoskupina – </w:t>
      </w:r>
      <w:r w:rsidR="008A7B10">
        <w:rPr>
          <w:b/>
          <w:sz w:val="20"/>
          <w:szCs w:val="20"/>
        </w:rPr>
        <w:t xml:space="preserve">polyhydroxyketosy. </w:t>
      </w:r>
      <w:r w:rsidR="008A7B10">
        <w:rPr>
          <w:sz w:val="20"/>
          <w:szCs w:val="20"/>
        </w:rPr>
        <w:t xml:space="preserve">Polyhydroxyaldehydy je možné zkráceně nazývat </w:t>
      </w:r>
      <w:r w:rsidR="008A7B10">
        <w:rPr>
          <w:b/>
          <w:sz w:val="20"/>
          <w:szCs w:val="20"/>
        </w:rPr>
        <w:t>aldosy</w:t>
      </w:r>
      <w:r w:rsidR="008A7B10">
        <w:rPr>
          <w:sz w:val="20"/>
          <w:szCs w:val="20"/>
        </w:rPr>
        <w:t xml:space="preserve">, polyhydroxyketosy je možné nazývat </w:t>
      </w:r>
      <w:r w:rsidR="008A7B10">
        <w:rPr>
          <w:b/>
          <w:sz w:val="20"/>
          <w:szCs w:val="20"/>
        </w:rPr>
        <w:t>ketosy</w:t>
      </w:r>
      <w:r w:rsidR="008A7B10">
        <w:rPr>
          <w:sz w:val="20"/>
          <w:szCs w:val="20"/>
        </w:rPr>
        <w:t xml:space="preserve">. </w:t>
      </w:r>
    </w:p>
    <w:p w:rsidR="00561BBE" w:rsidRDefault="00561BBE" w:rsidP="008A7B10">
      <w:pPr>
        <w:jc w:val="both"/>
        <w:rPr>
          <w:sz w:val="20"/>
          <w:szCs w:val="20"/>
        </w:rPr>
      </w:pPr>
      <w:r>
        <w:rPr>
          <w:sz w:val="20"/>
          <w:szCs w:val="20"/>
        </w:rPr>
        <w:t xml:space="preserve">Stavebními jednotkami sacharidů jsou monosacharidové jednotky, které jsou spojovány </w:t>
      </w:r>
      <w:r>
        <w:rPr>
          <w:b/>
          <w:sz w:val="20"/>
          <w:szCs w:val="20"/>
        </w:rPr>
        <w:t>glykosidovými vazbami</w:t>
      </w:r>
      <w:r>
        <w:rPr>
          <w:sz w:val="20"/>
          <w:szCs w:val="20"/>
        </w:rPr>
        <w:t>. Vznikají pak disacharidy (dvě monosacharidové jednotky spojené glykosidovou vazbou), trisacharidy,…, polysacharidy. Obecně lze sacharidy dělit</w:t>
      </w:r>
    </w:p>
    <w:p w:rsidR="00561BBE" w:rsidRDefault="00561BBE" w:rsidP="00561BBE">
      <w:pPr>
        <w:pStyle w:val="Odstavecseseznamem"/>
        <w:numPr>
          <w:ilvl w:val="0"/>
          <w:numId w:val="2"/>
        </w:numPr>
        <w:jc w:val="both"/>
        <w:rPr>
          <w:sz w:val="20"/>
          <w:szCs w:val="20"/>
        </w:rPr>
      </w:pPr>
      <w:r>
        <w:rPr>
          <w:sz w:val="20"/>
          <w:szCs w:val="20"/>
        </w:rPr>
        <w:t>monosacharidy</w:t>
      </w:r>
    </w:p>
    <w:p w:rsidR="00561BBE" w:rsidRDefault="00561BBE" w:rsidP="00561BBE">
      <w:pPr>
        <w:pStyle w:val="Odstavecseseznamem"/>
        <w:numPr>
          <w:ilvl w:val="0"/>
          <w:numId w:val="2"/>
        </w:numPr>
        <w:jc w:val="both"/>
        <w:rPr>
          <w:sz w:val="20"/>
          <w:szCs w:val="20"/>
        </w:rPr>
      </w:pPr>
      <w:r>
        <w:rPr>
          <w:sz w:val="20"/>
          <w:szCs w:val="20"/>
        </w:rPr>
        <w:t>oligosacharidy (pouze několik jednotek monosacharidů v molekule)</w:t>
      </w:r>
    </w:p>
    <w:p w:rsidR="00561BBE" w:rsidRDefault="00561BBE" w:rsidP="00561BBE">
      <w:pPr>
        <w:pStyle w:val="Odstavecseseznamem"/>
        <w:numPr>
          <w:ilvl w:val="0"/>
          <w:numId w:val="2"/>
        </w:numPr>
        <w:jc w:val="both"/>
        <w:rPr>
          <w:sz w:val="20"/>
          <w:szCs w:val="20"/>
        </w:rPr>
      </w:pPr>
      <w:r>
        <w:rPr>
          <w:sz w:val="20"/>
          <w:szCs w:val="20"/>
        </w:rPr>
        <w:t>polysacharidy (velké množství monosacharidových jednotek)</w:t>
      </w:r>
    </w:p>
    <w:p w:rsidR="00EF3F17" w:rsidRDefault="00EF3F17" w:rsidP="00561BBE">
      <w:pPr>
        <w:jc w:val="both"/>
        <w:rPr>
          <w:i/>
          <w:sz w:val="20"/>
          <w:szCs w:val="20"/>
        </w:rPr>
      </w:pPr>
      <w:r>
        <w:rPr>
          <w:sz w:val="20"/>
          <w:szCs w:val="20"/>
        </w:rPr>
        <w:t xml:space="preserve">Monosacharidové jednotky mohou obsahovat 3 až 6 atomů uhlíku. 3 uhlíkové jednotky nazýváme </w:t>
      </w:r>
      <w:r>
        <w:rPr>
          <w:i/>
          <w:sz w:val="20"/>
          <w:szCs w:val="20"/>
        </w:rPr>
        <w:t>triosy</w:t>
      </w:r>
      <w:r>
        <w:rPr>
          <w:sz w:val="20"/>
          <w:szCs w:val="20"/>
        </w:rPr>
        <w:t xml:space="preserve">, 4 uhlíkové </w:t>
      </w:r>
      <w:r>
        <w:rPr>
          <w:i/>
          <w:sz w:val="20"/>
          <w:szCs w:val="20"/>
        </w:rPr>
        <w:t>tetrosy</w:t>
      </w:r>
      <w:r>
        <w:rPr>
          <w:sz w:val="20"/>
          <w:szCs w:val="20"/>
        </w:rPr>
        <w:t xml:space="preserve">, 5 uhlíkové </w:t>
      </w:r>
      <w:r>
        <w:rPr>
          <w:i/>
          <w:sz w:val="20"/>
          <w:szCs w:val="20"/>
        </w:rPr>
        <w:t>pentosy</w:t>
      </w:r>
      <w:r>
        <w:rPr>
          <w:sz w:val="20"/>
          <w:szCs w:val="20"/>
        </w:rPr>
        <w:t xml:space="preserve">, 6 uhlíkové </w:t>
      </w:r>
      <w:r>
        <w:rPr>
          <w:i/>
          <w:sz w:val="20"/>
          <w:szCs w:val="20"/>
        </w:rPr>
        <w:t>hexosy</w:t>
      </w:r>
      <w:r>
        <w:rPr>
          <w:sz w:val="20"/>
          <w:szCs w:val="20"/>
        </w:rPr>
        <w:t xml:space="preserve">. Podle přítomnosti aldehydové nebo ketoskupiny pak mluvíme o </w:t>
      </w:r>
      <w:r>
        <w:rPr>
          <w:i/>
          <w:sz w:val="20"/>
          <w:szCs w:val="20"/>
        </w:rPr>
        <w:t>aldose</w:t>
      </w:r>
      <w:r>
        <w:rPr>
          <w:sz w:val="20"/>
          <w:szCs w:val="20"/>
        </w:rPr>
        <w:t xml:space="preserve">, respektive </w:t>
      </w:r>
      <w:r>
        <w:rPr>
          <w:i/>
          <w:sz w:val="20"/>
          <w:szCs w:val="20"/>
        </w:rPr>
        <w:t>ketose.</w:t>
      </w:r>
    </w:p>
    <w:p w:rsidR="00EF3F17" w:rsidRDefault="00080C02" w:rsidP="00561BBE">
      <w:pPr>
        <w:jc w:val="both"/>
        <w:rPr>
          <w:i/>
          <w:sz w:val="20"/>
          <w:szCs w:val="20"/>
        </w:rPr>
      </w:pPr>
      <w:r w:rsidRPr="00080C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68.8pt;margin-top:16.05pt;width:53.85pt;height:86.4pt;z-index:251665408;mso-position-horizontal-relative:text;mso-position-vertical-relative:text">
            <v:imagedata r:id="rId7" o:title=""/>
            <w10:wrap type="square"/>
          </v:shape>
          <o:OLEObject Type="Embed" ProgID="ISISServer" ShapeID="_x0000_s1037" DrawAspect="Content" ObjectID="_1661945438" r:id="rId8"/>
        </w:pict>
      </w:r>
      <w:r w:rsidRPr="00080C02">
        <w:rPr>
          <w:noProof/>
        </w:rPr>
        <w:pict>
          <v:shape id="_x0000_s1036" type="#_x0000_t75" style="position:absolute;left:0;text-align:left;margin-left:259.8pt;margin-top:23.55pt;width:45.7pt;height:71.35pt;z-index:251663360;mso-position-horizontal-relative:text;mso-position-vertical-relative:text">
            <v:imagedata r:id="rId9" o:title=""/>
            <w10:wrap type="square"/>
          </v:shape>
          <o:OLEObject Type="Embed" ProgID="ISISServer" ShapeID="_x0000_s1036" DrawAspect="Content" ObjectID="_1661945439" r:id="rId10"/>
        </w:pict>
      </w:r>
      <w:r w:rsidRPr="00080C02">
        <w:rPr>
          <w:noProof/>
        </w:rPr>
        <w:pict>
          <v:shape id="_x0000_s1035" type="#_x0000_t75" style="position:absolute;left:0;text-align:left;margin-left:138.65pt;margin-top:21.05pt;width:55.1pt;height:75.75pt;z-index:251661312;mso-position-horizontal-relative:text;mso-position-vertical-relative:text">
            <v:imagedata r:id="rId11" o:title=""/>
            <w10:wrap type="square"/>
          </v:shape>
          <o:OLEObject Type="Embed" ProgID="ISISServer" ShapeID="_x0000_s1035" DrawAspect="Content" ObjectID="_1661945440" r:id="rId12"/>
        </w:pict>
      </w:r>
      <w:r w:rsidRPr="00080C02">
        <w:rPr>
          <w:noProof/>
        </w:rPr>
        <w:pict>
          <v:shape id="_x0000_s1034" type="#_x0000_t75" style="position:absolute;left:0;text-align:left;margin-left:23.8pt;margin-top:22.2pt;width:49.45pt;height:67.8pt;z-index:251659264;mso-position-horizontal-relative:text;mso-position-vertical-relative:text">
            <v:imagedata r:id="rId13" o:title=""/>
            <w10:wrap type="square"/>
          </v:shape>
          <o:OLEObject Type="Embed" ProgID="ISISServer" ShapeID="_x0000_s1034" DrawAspect="Content" ObjectID="_1661945441" r:id="rId14"/>
        </w:pict>
      </w:r>
      <w:r w:rsidR="00A45473">
        <w:rPr>
          <w:i/>
          <w:sz w:val="20"/>
          <w:szCs w:val="20"/>
        </w:rPr>
        <w:t>Obecně pojmenujte jednotlivé monosacharidy podle příkladu</w:t>
      </w:r>
    </w:p>
    <w:p w:rsidR="00004E20" w:rsidRDefault="00004E20" w:rsidP="00561BBE">
      <w:pPr>
        <w:jc w:val="both"/>
      </w:pPr>
    </w:p>
    <w:p w:rsidR="00004E20" w:rsidRDefault="00004E20" w:rsidP="00561BBE">
      <w:pPr>
        <w:jc w:val="both"/>
      </w:pPr>
    </w:p>
    <w:p w:rsidR="00004E20" w:rsidRDefault="00004E20" w:rsidP="00561BBE">
      <w:pPr>
        <w:jc w:val="both"/>
        <w:rPr>
          <w:sz w:val="18"/>
          <w:szCs w:val="18"/>
        </w:rPr>
      </w:pPr>
    </w:p>
    <w:p w:rsidR="00004E20" w:rsidRDefault="00004E20" w:rsidP="00561BBE">
      <w:pPr>
        <w:jc w:val="both"/>
        <w:rPr>
          <w:sz w:val="18"/>
          <w:szCs w:val="18"/>
        </w:rPr>
      </w:pPr>
      <w:r>
        <w:rPr>
          <w:sz w:val="18"/>
          <w:szCs w:val="18"/>
        </w:rPr>
        <w:t>aldosa, tetrosa, aldotetrosa</w:t>
      </w:r>
    </w:p>
    <w:p w:rsidR="00584FEC" w:rsidRDefault="00584FEC" w:rsidP="00561BBE">
      <w:pPr>
        <w:jc w:val="both"/>
        <w:rPr>
          <w:sz w:val="18"/>
          <w:szCs w:val="18"/>
        </w:rPr>
      </w:pPr>
    </w:p>
    <w:p w:rsidR="00584FEC" w:rsidRPr="00584FEC" w:rsidRDefault="00584FEC" w:rsidP="00584FEC">
      <w:pPr>
        <w:rPr>
          <w:rFonts w:cs="Times New Roman"/>
          <w:sz w:val="20"/>
          <w:szCs w:val="20"/>
        </w:rPr>
      </w:pPr>
      <w:r w:rsidRPr="00584FEC">
        <w:rPr>
          <w:rFonts w:cs="Times New Roman"/>
          <w:i/>
          <w:sz w:val="20"/>
          <w:szCs w:val="20"/>
        </w:rPr>
        <w:t>Optická aktivita</w:t>
      </w:r>
    </w:p>
    <w:p w:rsidR="00584FEC" w:rsidRPr="00584FEC" w:rsidRDefault="00584FEC" w:rsidP="00584FEC">
      <w:pPr>
        <w:jc w:val="both"/>
        <w:rPr>
          <w:rFonts w:cs="Times New Roman"/>
          <w:sz w:val="20"/>
          <w:szCs w:val="20"/>
        </w:rPr>
      </w:pPr>
      <w:r w:rsidRPr="00584FEC">
        <w:rPr>
          <w:rFonts w:cs="Times New Roman"/>
          <w:sz w:val="20"/>
          <w:szCs w:val="20"/>
        </w:rPr>
        <w:tab/>
        <w:t>Je mnoho způsobů jak definovat optickou aktivitu molekuly. Zaměřme se pouze na dvě:</w:t>
      </w:r>
    </w:p>
    <w:p w:rsidR="00584FEC" w:rsidRPr="00584FEC" w:rsidRDefault="00584FEC" w:rsidP="00584FEC">
      <w:pPr>
        <w:ind w:left="142" w:hanging="142"/>
        <w:jc w:val="both"/>
        <w:rPr>
          <w:rFonts w:cs="Times New Roman"/>
          <w:sz w:val="20"/>
          <w:szCs w:val="20"/>
        </w:rPr>
      </w:pPr>
      <w:r w:rsidRPr="00584FEC">
        <w:rPr>
          <w:rFonts w:cs="Times New Roman"/>
          <w:sz w:val="20"/>
          <w:szCs w:val="20"/>
        </w:rPr>
        <w:t>a) molekula je opticky aktivní obsahuje-li ve své molekule chirální uhlík, tj. uhlík, na kterém jsou vázány čtyři různí substituenti.</w:t>
      </w:r>
    </w:p>
    <w:p w:rsidR="00584FEC" w:rsidRPr="00584FEC" w:rsidRDefault="00584FEC" w:rsidP="00584FEC">
      <w:pPr>
        <w:ind w:left="142" w:hanging="142"/>
        <w:jc w:val="both"/>
        <w:rPr>
          <w:rFonts w:cs="Times New Roman"/>
          <w:sz w:val="20"/>
          <w:szCs w:val="20"/>
        </w:rPr>
      </w:pPr>
      <w:r w:rsidRPr="00584FEC">
        <w:rPr>
          <w:rFonts w:cs="Times New Roman"/>
          <w:sz w:val="20"/>
          <w:szCs w:val="20"/>
        </w:rPr>
        <w:t>b) pokud nelze translací či rotací ztotožnit vzor s jeho zrcadlovým obrazem je daná látka opticky aktivní</w:t>
      </w:r>
    </w:p>
    <w:p w:rsidR="00584FEC" w:rsidRDefault="00080C02" w:rsidP="00584FEC">
      <w:pPr>
        <w:jc w:val="both"/>
        <w:rPr>
          <w:rFonts w:cs="Times New Roman"/>
          <w:sz w:val="20"/>
          <w:szCs w:val="20"/>
        </w:rPr>
      </w:pPr>
      <w:r w:rsidRPr="00080C02">
        <w:rPr>
          <w:noProof/>
        </w:rPr>
        <w:pict>
          <v:shape id="_x0000_s1038" type="#_x0000_t75" style="position:absolute;left:0;text-align:left;margin-left:398.1pt;margin-top:48.6pt;width:55.7pt;height:72.65pt;z-index:251667456;mso-position-horizontal-relative:text;mso-position-vertical-relative:text">
            <v:imagedata r:id="rId15" o:title=""/>
            <w10:wrap type="square"/>
          </v:shape>
          <o:OLEObject Type="Embed" ProgID="ISISServer" ShapeID="_x0000_s1038" DrawAspect="Content" ObjectID="_1661945442" r:id="rId16"/>
        </w:pict>
      </w:r>
      <w:r w:rsidR="00584FEC" w:rsidRPr="00584FEC">
        <w:rPr>
          <w:rFonts w:cs="Times New Roman"/>
          <w:sz w:val="20"/>
          <w:szCs w:val="20"/>
        </w:rPr>
        <w:t xml:space="preserve">Druhá definice je obecnější a může být použita i pro případ anorganických molekul, které vykazují optickou aktivitu. V této kapitole, bude však výhodnější držet se definice první. S výjimkou </w:t>
      </w:r>
      <w:r w:rsidR="00584FEC">
        <w:rPr>
          <w:rFonts w:cs="Times New Roman"/>
          <w:sz w:val="20"/>
          <w:szCs w:val="20"/>
        </w:rPr>
        <w:t xml:space="preserve">dihydroxyacetonu (ketotriosa) </w:t>
      </w:r>
      <w:r w:rsidR="00584FEC">
        <w:rPr>
          <w:rFonts w:cs="Times New Roman"/>
          <w:sz w:val="20"/>
          <w:szCs w:val="20"/>
        </w:rPr>
        <w:lastRenderedPageBreak/>
        <w:t>jsou molekuly monosacharidů</w:t>
      </w:r>
      <w:r w:rsidR="00584FEC" w:rsidRPr="00584FEC">
        <w:rPr>
          <w:rFonts w:cs="Times New Roman"/>
          <w:sz w:val="20"/>
          <w:szCs w:val="20"/>
        </w:rPr>
        <w:t xml:space="preserve"> opticky aktivní, tedy mají centrum</w:t>
      </w:r>
      <w:r w:rsidR="00584FEC">
        <w:rPr>
          <w:rFonts w:cs="Times New Roman"/>
          <w:sz w:val="20"/>
          <w:szCs w:val="20"/>
        </w:rPr>
        <w:t>, respektive centra</w:t>
      </w:r>
      <w:r w:rsidR="00584FEC" w:rsidRPr="00584FEC">
        <w:rPr>
          <w:rFonts w:cs="Times New Roman"/>
          <w:sz w:val="20"/>
          <w:szCs w:val="20"/>
        </w:rPr>
        <w:t xml:space="preserve"> chirality (chirální uhlík). Podle toho, jak látky otáčejí rovinou polarizovaného světla, dělíme opticky aktivní látky na pravotočivé (symbol +) a levotočivé (symbol −). Jde o optické izomery  - optické antipody. Směs těchto optických antipodů (1:1) se nazývá racemická.</w:t>
      </w:r>
      <w:r w:rsidR="00DE452B" w:rsidRPr="00DE452B">
        <w:t xml:space="preserve"> </w:t>
      </w:r>
    </w:p>
    <w:p w:rsidR="00DE452B" w:rsidRDefault="00DE452B" w:rsidP="00584FEC">
      <w:pPr>
        <w:jc w:val="both"/>
        <w:rPr>
          <w:rFonts w:cs="Times New Roman"/>
          <w:sz w:val="20"/>
          <w:szCs w:val="20"/>
        </w:rPr>
      </w:pPr>
      <w:r>
        <w:rPr>
          <w:rFonts w:cs="Times New Roman"/>
          <w:sz w:val="20"/>
          <w:szCs w:val="20"/>
        </w:rPr>
        <w:t>Na obrázku jsou červenými tečkami znázorněny centra optické aktivity – chirální uhlíky.</w:t>
      </w:r>
    </w:p>
    <w:p w:rsidR="00DE452B" w:rsidRDefault="00DE452B" w:rsidP="00584FEC">
      <w:pPr>
        <w:jc w:val="both"/>
        <w:rPr>
          <w:rFonts w:cs="Times New Roman"/>
          <w:sz w:val="20"/>
          <w:szCs w:val="20"/>
        </w:rPr>
      </w:pPr>
    </w:p>
    <w:p w:rsidR="00584FEC" w:rsidRDefault="00584FEC" w:rsidP="00584FEC">
      <w:pPr>
        <w:jc w:val="both"/>
        <w:rPr>
          <w:rFonts w:cs="Times New Roman"/>
          <w:i/>
          <w:sz w:val="20"/>
          <w:szCs w:val="20"/>
        </w:rPr>
      </w:pPr>
      <w:r>
        <w:rPr>
          <w:rFonts w:cs="Times New Roman"/>
          <w:i/>
          <w:sz w:val="20"/>
          <w:szCs w:val="20"/>
        </w:rPr>
        <w:t>Absolutní konfigurace</w:t>
      </w:r>
    </w:p>
    <w:p w:rsidR="00584FEC" w:rsidRDefault="00584FEC" w:rsidP="00584FEC">
      <w:pPr>
        <w:jc w:val="both"/>
        <w:rPr>
          <w:rFonts w:cs="Times New Roman"/>
          <w:sz w:val="20"/>
          <w:szCs w:val="20"/>
        </w:rPr>
      </w:pPr>
      <w:r>
        <w:rPr>
          <w:rFonts w:cs="Times New Roman"/>
          <w:sz w:val="20"/>
          <w:szCs w:val="20"/>
        </w:rPr>
        <w:t xml:space="preserve">Absolutní konfigurace je znázorňována předponami D, L. Značí prostorovou konfiguraci a nemusí souhlasit s optickou otáčivostí látky. </w:t>
      </w:r>
    </w:p>
    <w:p w:rsidR="00DE452B" w:rsidRDefault="00DE452B" w:rsidP="00584FEC">
      <w:pPr>
        <w:jc w:val="both"/>
        <w:rPr>
          <w:rFonts w:cs="Times New Roman"/>
          <w:sz w:val="20"/>
          <w:szCs w:val="20"/>
        </w:rPr>
      </w:pPr>
      <w:r>
        <w:rPr>
          <w:rFonts w:cs="Times New Roman"/>
          <w:i/>
          <w:sz w:val="20"/>
          <w:szCs w:val="20"/>
        </w:rPr>
        <w:t>Epimery</w:t>
      </w:r>
    </w:p>
    <w:p w:rsidR="00DE452B" w:rsidRDefault="00DE452B" w:rsidP="00584FEC">
      <w:pPr>
        <w:jc w:val="both"/>
        <w:rPr>
          <w:rFonts w:cs="Times New Roman"/>
          <w:sz w:val="20"/>
          <w:szCs w:val="20"/>
        </w:rPr>
      </w:pPr>
      <w:r>
        <w:rPr>
          <w:rFonts w:cs="Times New Roman"/>
          <w:sz w:val="20"/>
          <w:szCs w:val="20"/>
        </w:rPr>
        <w:t xml:space="preserve">Zaměníme-li absolutní konfiguraci pouze na jednom atomu uhlíku, mluvíme o tzv. </w:t>
      </w:r>
      <w:r>
        <w:rPr>
          <w:rFonts w:cs="Times New Roman"/>
          <w:b/>
          <w:sz w:val="20"/>
          <w:szCs w:val="20"/>
        </w:rPr>
        <w:t>epimerech</w:t>
      </w:r>
      <w:r>
        <w:rPr>
          <w:rFonts w:cs="Times New Roman"/>
          <w:sz w:val="20"/>
          <w:szCs w:val="20"/>
        </w:rPr>
        <w:t>. Uvedenou izomerii vidíme na následujícím obrázku</w:t>
      </w:r>
    </w:p>
    <w:p w:rsidR="00DE452B" w:rsidRDefault="00B46ED8" w:rsidP="00DE452B">
      <w:pPr>
        <w:jc w:val="center"/>
        <w:rPr>
          <w:sz w:val="18"/>
          <w:szCs w:val="18"/>
        </w:rPr>
      </w:pPr>
      <w:r>
        <w:object w:dxaOrig="5025" w:dyaOrig="2430">
          <v:shape id="_x0000_i1030" type="#_x0000_t75" style="width:166.5pt;height:80.25pt" o:ole="">
            <v:imagedata r:id="rId17" o:title=""/>
          </v:shape>
          <o:OLEObject Type="Embed" ProgID="ISISServer" ShapeID="_x0000_i1030" DrawAspect="Content" ObjectID="_1661945436" r:id="rId18"/>
        </w:object>
      </w:r>
    </w:p>
    <w:p w:rsidR="00DE452B" w:rsidRDefault="00DE452B" w:rsidP="00DE452B">
      <w:pPr>
        <w:rPr>
          <w:sz w:val="18"/>
          <w:szCs w:val="18"/>
        </w:rPr>
      </w:pPr>
      <w:r>
        <w:rPr>
          <w:sz w:val="18"/>
          <w:szCs w:val="18"/>
        </w:rPr>
        <w:tab/>
      </w:r>
      <w:r>
        <w:rPr>
          <w:sz w:val="18"/>
          <w:szCs w:val="18"/>
        </w:rPr>
        <w:tab/>
      </w:r>
      <w:r>
        <w:rPr>
          <w:sz w:val="18"/>
          <w:szCs w:val="18"/>
        </w:rPr>
        <w:tab/>
      </w:r>
      <w:r>
        <w:rPr>
          <w:sz w:val="18"/>
          <w:szCs w:val="18"/>
        </w:rPr>
        <w:tab/>
        <w:t>D-glukosa</w:t>
      </w:r>
      <w:r>
        <w:rPr>
          <w:sz w:val="18"/>
          <w:szCs w:val="18"/>
        </w:rPr>
        <w:tab/>
      </w:r>
      <w:r>
        <w:rPr>
          <w:sz w:val="18"/>
          <w:szCs w:val="18"/>
        </w:rPr>
        <w:tab/>
      </w:r>
      <w:r>
        <w:rPr>
          <w:sz w:val="18"/>
          <w:szCs w:val="18"/>
        </w:rPr>
        <w:tab/>
        <w:t>D-galaktosa</w:t>
      </w:r>
    </w:p>
    <w:p w:rsidR="00DE452B" w:rsidRDefault="00080C02" w:rsidP="00987B6E">
      <w:pPr>
        <w:jc w:val="both"/>
        <w:rPr>
          <w:sz w:val="20"/>
          <w:szCs w:val="20"/>
        </w:rPr>
      </w:pPr>
      <w:r w:rsidRPr="00080C02">
        <w:rPr>
          <w:noProof/>
        </w:rPr>
        <w:pict>
          <v:shape id="_x0000_s1040" type="#_x0000_t75" style="position:absolute;left:0;text-align:left;margin-left:264.2pt;margin-top:75.1pt;width:35.05pt;height:40.15pt;z-index:251671552;mso-position-horizontal-relative:text;mso-position-vertical-relative:text">
            <v:imagedata r:id="rId19" o:title=""/>
            <w10:wrap type="square"/>
          </v:shape>
          <o:OLEObject Type="Embed" ProgID="ISISServer" ShapeID="_x0000_s1040" DrawAspect="Content" ObjectID="_1661945443" r:id="rId20"/>
        </w:pict>
      </w:r>
      <w:r w:rsidR="00987B6E">
        <w:rPr>
          <w:sz w:val="20"/>
          <w:szCs w:val="20"/>
        </w:rPr>
        <w:t xml:space="preserve">Vzorce monosacharidů je možné psát </w:t>
      </w:r>
      <w:r w:rsidR="00987B6E">
        <w:rPr>
          <w:b/>
          <w:sz w:val="20"/>
          <w:szCs w:val="20"/>
        </w:rPr>
        <w:t>Fischerovou projekcí</w:t>
      </w:r>
      <w:r w:rsidR="00987B6E">
        <w:rPr>
          <w:sz w:val="20"/>
          <w:szCs w:val="20"/>
        </w:rPr>
        <w:t xml:space="preserve">. Jedná se o zápis monosacharidů pomocí lineárních řetězců, viz výše. Chování monosacharidů však naznačuje, že uhlík karbonylové skupiny není volný, ale je navázán. Je to způsobeno snahou těchto monosacharidů vytvářet pěti nebo šestičlenné kruhy. Cyklické monosacharidy s pětičlenným kruhem jsou odvozeny od furanu – </w:t>
      </w:r>
      <w:r w:rsidR="00987B6E">
        <w:rPr>
          <w:b/>
          <w:sz w:val="20"/>
          <w:szCs w:val="20"/>
        </w:rPr>
        <w:t>furanosy</w:t>
      </w:r>
      <w:r w:rsidR="00987B6E">
        <w:rPr>
          <w:sz w:val="20"/>
          <w:szCs w:val="20"/>
        </w:rPr>
        <w:t xml:space="preserve">. Cyklické monosacharidy se šestičlenným kruhem jsou odvozeny od pyranu – </w:t>
      </w:r>
      <w:r w:rsidR="00987B6E">
        <w:rPr>
          <w:b/>
          <w:sz w:val="20"/>
          <w:szCs w:val="20"/>
        </w:rPr>
        <w:t>pyranosy</w:t>
      </w:r>
      <w:r w:rsidR="00987B6E">
        <w:rPr>
          <w:sz w:val="20"/>
          <w:szCs w:val="20"/>
        </w:rPr>
        <w:t>.</w:t>
      </w:r>
    </w:p>
    <w:p w:rsidR="00584FEC" w:rsidRDefault="00080C02" w:rsidP="00584FEC">
      <w:pPr>
        <w:jc w:val="both"/>
        <w:rPr>
          <w:rFonts w:cs="Times New Roman"/>
          <w:sz w:val="20"/>
          <w:szCs w:val="20"/>
        </w:rPr>
      </w:pPr>
      <w:r w:rsidRPr="00080C02">
        <w:rPr>
          <w:noProof/>
        </w:rPr>
        <w:pict>
          <v:shape id="_x0000_s1039" type="#_x0000_t75" style="position:absolute;left:0;text-align:left;margin-left:138.65pt;margin-top:2.95pt;width:33.55pt;height:32.1pt;z-index:251669504;mso-position-horizontal-relative:text;mso-position-vertical-relative:text">
            <v:imagedata r:id="rId21" o:title=""/>
            <w10:wrap type="square"/>
          </v:shape>
          <o:OLEObject Type="Embed" ProgID="ISISServer" ShapeID="_x0000_s1039" DrawAspect="Content" ObjectID="_1661945444" r:id="rId22"/>
        </w:pict>
      </w:r>
    </w:p>
    <w:p w:rsidR="00B46ED8" w:rsidRPr="00B46ED8" w:rsidRDefault="00B46ED8" w:rsidP="00584FEC">
      <w:pPr>
        <w:jc w:val="both"/>
        <w:rPr>
          <w:rFonts w:cs="Times New Roman"/>
          <w:sz w:val="20"/>
          <w:szCs w:val="20"/>
        </w:rPr>
      </w:pPr>
    </w:p>
    <w:p w:rsidR="00987B6E" w:rsidRDefault="00987B6E" w:rsidP="00584FEC">
      <w:pPr>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furan</w:t>
      </w:r>
      <w:r>
        <w:rPr>
          <w:rFonts w:cs="Times New Roman"/>
          <w:sz w:val="18"/>
          <w:szCs w:val="18"/>
        </w:rPr>
        <w:tab/>
      </w:r>
      <w:r>
        <w:rPr>
          <w:rFonts w:cs="Times New Roman"/>
          <w:sz w:val="18"/>
          <w:szCs w:val="18"/>
        </w:rPr>
        <w:tab/>
      </w:r>
      <w:r>
        <w:rPr>
          <w:rFonts w:cs="Times New Roman"/>
          <w:sz w:val="18"/>
          <w:szCs w:val="18"/>
        </w:rPr>
        <w:tab/>
        <w:t xml:space="preserve">        4H-pyran</w:t>
      </w:r>
    </w:p>
    <w:p w:rsidR="00004E20" w:rsidRDefault="008A59E9" w:rsidP="003F2E6A">
      <w:pPr>
        <w:jc w:val="both"/>
        <w:rPr>
          <w:rFonts w:cs="Times New Roman"/>
          <w:sz w:val="20"/>
          <w:szCs w:val="20"/>
        </w:rPr>
      </w:pPr>
      <w:r>
        <w:rPr>
          <w:rFonts w:cs="Times New Roman"/>
          <w:sz w:val="20"/>
          <w:szCs w:val="20"/>
        </w:rPr>
        <w:t>Uveďme si nejtypičtější dva příklady</w:t>
      </w:r>
    </w:p>
    <w:p w:rsidR="003F2E6A" w:rsidRDefault="00B46ED8" w:rsidP="003F2E6A">
      <w:pPr>
        <w:jc w:val="center"/>
        <w:rPr>
          <w:sz w:val="18"/>
          <w:szCs w:val="18"/>
        </w:rPr>
      </w:pPr>
      <w:r>
        <w:object w:dxaOrig="8970" w:dyaOrig="2370">
          <v:shape id="_x0000_i1033" type="#_x0000_t75" style="width:303pt;height:79.5pt" o:ole="">
            <v:imagedata r:id="rId23" o:title=""/>
          </v:shape>
          <o:OLEObject Type="Embed" ProgID="ISISServer" ShapeID="_x0000_i1033" DrawAspect="Content" ObjectID="_1661945437" r:id="rId24"/>
        </w:object>
      </w:r>
    </w:p>
    <w:p w:rsidR="003F2E6A" w:rsidRDefault="003F2E6A" w:rsidP="003F2E6A">
      <w:pPr>
        <w:rPr>
          <w:sz w:val="18"/>
          <w:szCs w:val="18"/>
        </w:rPr>
      </w:pPr>
      <w:r>
        <w:rPr>
          <w:sz w:val="18"/>
          <w:szCs w:val="18"/>
        </w:rPr>
        <w:tab/>
      </w:r>
      <w:r>
        <w:rPr>
          <w:sz w:val="18"/>
          <w:szCs w:val="18"/>
        </w:rPr>
        <w:tab/>
        <w:t xml:space="preserve">     D-glukosa</w:t>
      </w:r>
      <w:r>
        <w:rPr>
          <w:sz w:val="18"/>
          <w:szCs w:val="18"/>
        </w:rPr>
        <w:tab/>
      </w:r>
      <w:r>
        <w:rPr>
          <w:sz w:val="18"/>
          <w:szCs w:val="18"/>
        </w:rPr>
        <w:tab/>
        <w:t xml:space="preserve">      </w:t>
      </w:r>
      <w:r>
        <w:rPr>
          <w:rFonts w:ascii="Symbol" w:hAnsi="Symbol"/>
          <w:sz w:val="18"/>
          <w:szCs w:val="18"/>
        </w:rPr>
        <w:t></w:t>
      </w:r>
      <w:r>
        <w:rPr>
          <w:sz w:val="18"/>
          <w:szCs w:val="18"/>
        </w:rPr>
        <w:t>-D-glukopyranosa</w:t>
      </w:r>
      <w:r>
        <w:rPr>
          <w:sz w:val="18"/>
          <w:szCs w:val="18"/>
        </w:rPr>
        <w:tab/>
      </w:r>
      <w:r>
        <w:rPr>
          <w:sz w:val="18"/>
          <w:szCs w:val="18"/>
        </w:rPr>
        <w:tab/>
      </w:r>
      <w:r>
        <w:rPr>
          <w:rFonts w:ascii="Symbol" w:hAnsi="Symbol"/>
          <w:sz w:val="18"/>
          <w:szCs w:val="18"/>
        </w:rPr>
        <w:t></w:t>
      </w:r>
      <w:r>
        <w:rPr>
          <w:sz w:val="18"/>
          <w:szCs w:val="18"/>
        </w:rPr>
        <w:t>-D-glukopyranosa</w:t>
      </w:r>
    </w:p>
    <w:p w:rsidR="003F2E6A" w:rsidRDefault="00080C02" w:rsidP="003F2E6A">
      <w:pPr>
        <w:jc w:val="both"/>
        <w:rPr>
          <w:sz w:val="20"/>
          <w:szCs w:val="20"/>
        </w:rPr>
      </w:pPr>
      <w:r w:rsidRPr="00080C02">
        <w:rPr>
          <w:noProof/>
        </w:rPr>
        <w:pict>
          <v:shape id="_x0000_s1041" type="#_x0000_t75" style="position:absolute;left:0;text-align:left;margin-left:76.85pt;margin-top:24.25pt;width:299.25pt;height:80.15pt;z-index:251673600;mso-position-horizontal-relative:text;mso-position-vertical-relative:text">
            <v:imagedata r:id="rId25" o:title=""/>
            <w10:wrap type="square"/>
          </v:shape>
          <o:OLEObject Type="Embed" ProgID="ISISServer" ShapeID="_x0000_s1041" DrawAspect="Content" ObjectID="_1661945445" r:id="rId26"/>
        </w:pict>
      </w:r>
      <w:r w:rsidR="003F2E6A">
        <w:rPr>
          <w:sz w:val="20"/>
          <w:szCs w:val="20"/>
        </w:rPr>
        <w:t xml:space="preserve">Všimněme si, že cyklické formy </w:t>
      </w:r>
      <w:r w:rsidR="003F2E6A">
        <w:rPr>
          <w:sz w:val="20"/>
          <w:szCs w:val="20"/>
        </w:rPr>
        <w:lastRenderedPageBreak/>
        <w:t>se mohou lišit polohou OH skupiny na 1</w:t>
      </w:r>
      <w:r w:rsidR="00355F48">
        <w:rPr>
          <w:sz w:val="20"/>
          <w:szCs w:val="20"/>
        </w:rPr>
        <w:t>, resp. 2</w:t>
      </w:r>
      <w:r w:rsidR="003F2E6A">
        <w:rPr>
          <w:sz w:val="20"/>
          <w:szCs w:val="20"/>
        </w:rPr>
        <w:t xml:space="preserve">. uhlíku. Těmto izomerům říkáme </w:t>
      </w:r>
      <w:r w:rsidR="003F2E6A">
        <w:rPr>
          <w:b/>
          <w:sz w:val="20"/>
          <w:szCs w:val="20"/>
        </w:rPr>
        <w:t>anomery</w:t>
      </w:r>
      <w:r w:rsidR="003F2E6A">
        <w:rPr>
          <w:sz w:val="20"/>
          <w:szCs w:val="20"/>
        </w:rPr>
        <w:t>.</w:t>
      </w:r>
    </w:p>
    <w:p w:rsidR="00B46ED8" w:rsidRPr="00B46ED8" w:rsidRDefault="00B46ED8" w:rsidP="00B46ED8">
      <w:pPr>
        <w:jc w:val="center"/>
        <w:rPr>
          <w:sz w:val="18"/>
          <w:szCs w:val="18"/>
        </w:rPr>
      </w:pPr>
    </w:p>
    <w:p w:rsidR="00B46ED8" w:rsidRDefault="00B46ED8" w:rsidP="00B46ED8">
      <w:pPr>
        <w:jc w:val="center"/>
        <w:rPr>
          <w:rFonts w:cs="Times New Roman"/>
          <w:sz w:val="20"/>
          <w:szCs w:val="20"/>
        </w:rPr>
      </w:pPr>
    </w:p>
    <w:p w:rsidR="00B46ED8" w:rsidRDefault="00B46ED8" w:rsidP="00B46ED8">
      <w:pPr>
        <w:jc w:val="center"/>
        <w:rPr>
          <w:rFonts w:cs="Times New Roman"/>
          <w:sz w:val="20"/>
          <w:szCs w:val="20"/>
        </w:rPr>
      </w:pPr>
    </w:p>
    <w:p w:rsidR="00355F48" w:rsidRDefault="00B46ED8" w:rsidP="00B46ED8">
      <w:pPr>
        <w:jc w:val="both"/>
        <w:rPr>
          <w:rFonts w:cs="Times New Roman"/>
          <w:sz w:val="18"/>
          <w:szCs w:val="18"/>
        </w:rPr>
      </w:pPr>
      <w:r>
        <w:rPr>
          <w:rFonts w:cs="Times New Roman"/>
          <w:sz w:val="20"/>
          <w:szCs w:val="20"/>
        </w:rPr>
        <w:tab/>
      </w:r>
      <w:r>
        <w:rPr>
          <w:rFonts w:cs="Times New Roman"/>
          <w:sz w:val="20"/>
          <w:szCs w:val="20"/>
        </w:rPr>
        <w:tab/>
        <w:t xml:space="preserve">      </w:t>
      </w:r>
      <w:r>
        <w:rPr>
          <w:rFonts w:cs="Times New Roman"/>
          <w:sz w:val="18"/>
          <w:szCs w:val="18"/>
        </w:rPr>
        <w:t>D-fruktosa</w:t>
      </w:r>
      <w:r>
        <w:rPr>
          <w:rFonts w:cs="Times New Roman"/>
          <w:sz w:val="18"/>
          <w:szCs w:val="18"/>
        </w:rPr>
        <w:tab/>
      </w:r>
      <w:r>
        <w:rPr>
          <w:rFonts w:cs="Times New Roman"/>
          <w:sz w:val="18"/>
          <w:szCs w:val="18"/>
        </w:rPr>
        <w:tab/>
        <w:t xml:space="preserve">      </w:t>
      </w:r>
      <w:r>
        <w:rPr>
          <w:rFonts w:cs="Times New Roman"/>
          <w:sz w:val="20"/>
          <w:szCs w:val="20"/>
        </w:rPr>
        <w:t xml:space="preserve"> </w:t>
      </w:r>
      <w:r>
        <w:rPr>
          <w:rFonts w:ascii="Symbol" w:hAnsi="Symbol"/>
          <w:sz w:val="18"/>
          <w:szCs w:val="18"/>
        </w:rPr>
        <w:t></w:t>
      </w:r>
      <w:r>
        <w:rPr>
          <w:sz w:val="18"/>
          <w:szCs w:val="18"/>
        </w:rPr>
        <w:t>-D-</w:t>
      </w:r>
      <w:r w:rsidR="00355F48">
        <w:rPr>
          <w:sz w:val="18"/>
          <w:szCs w:val="18"/>
        </w:rPr>
        <w:t>fruktofuranosa</w:t>
      </w:r>
      <w:r w:rsidR="00355F48">
        <w:rPr>
          <w:sz w:val="18"/>
          <w:szCs w:val="18"/>
        </w:rPr>
        <w:tab/>
      </w:r>
      <w:r w:rsidR="00355F48">
        <w:rPr>
          <w:sz w:val="18"/>
          <w:szCs w:val="18"/>
        </w:rPr>
        <w:tab/>
      </w:r>
      <w:r w:rsidR="00355F48">
        <w:rPr>
          <w:rFonts w:ascii="Symbol" w:hAnsi="Symbol"/>
          <w:sz w:val="18"/>
          <w:szCs w:val="18"/>
        </w:rPr>
        <w:t></w:t>
      </w:r>
      <w:r w:rsidR="00355F48">
        <w:rPr>
          <w:sz w:val="18"/>
          <w:szCs w:val="18"/>
        </w:rPr>
        <w:t>-D-fruktofuranosa</w:t>
      </w:r>
      <w:r>
        <w:rPr>
          <w:rFonts w:cs="Times New Roman"/>
          <w:sz w:val="18"/>
          <w:szCs w:val="18"/>
        </w:rPr>
        <w:t xml:space="preserve">        </w:t>
      </w:r>
    </w:p>
    <w:p w:rsidR="00B46ED8" w:rsidRPr="0033174E" w:rsidRDefault="00355F48" w:rsidP="00B46ED8">
      <w:pPr>
        <w:jc w:val="both"/>
        <w:rPr>
          <w:rFonts w:cs="Times New Roman"/>
          <w:sz w:val="20"/>
          <w:szCs w:val="20"/>
        </w:rPr>
      </w:pPr>
      <w:r w:rsidRPr="0033174E">
        <w:rPr>
          <w:rFonts w:cs="Times New Roman"/>
          <w:sz w:val="20"/>
          <w:szCs w:val="20"/>
        </w:rPr>
        <w:t xml:space="preserve">Pro zápis těchto cyklických forem byla použita </w:t>
      </w:r>
      <w:r w:rsidRPr="0033174E">
        <w:rPr>
          <w:rFonts w:cs="Times New Roman"/>
          <w:b/>
          <w:sz w:val="20"/>
          <w:szCs w:val="20"/>
        </w:rPr>
        <w:t>Haworthova projekce</w:t>
      </w:r>
      <w:r w:rsidRPr="0033174E">
        <w:rPr>
          <w:rFonts w:cs="Times New Roman"/>
          <w:sz w:val="20"/>
          <w:szCs w:val="20"/>
        </w:rPr>
        <w:t xml:space="preserve">. Je zřejmé, že v cyklické formě nebudou mít monosacharidy planární </w:t>
      </w:r>
      <w:r w:rsidR="00C74475" w:rsidRPr="0033174E">
        <w:rPr>
          <w:rFonts w:cs="Times New Roman"/>
          <w:sz w:val="20"/>
          <w:szCs w:val="20"/>
        </w:rPr>
        <w:t xml:space="preserve">uspořádání. Energeticky nejvýhodnější je židličková konformace. </w:t>
      </w:r>
    </w:p>
    <w:p w:rsidR="00C74475" w:rsidRPr="0033174E" w:rsidRDefault="00C74475" w:rsidP="00B46ED8">
      <w:pPr>
        <w:jc w:val="both"/>
        <w:rPr>
          <w:rFonts w:cs="Times New Roman"/>
          <w:sz w:val="20"/>
          <w:szCs w:val="20"/>
        </w:rPr>
      </w:pPr>
      <w:r w:rsidRPr="0033174E">
        <w:rPr>
          <w:rFonts w:cs="Times New Roman"/>
          <w:sz w:val="20"/>
          <w:szCs w:val="20"/>
        </w:rPr>
        <w:t xml:space="preserve">Přítomnost karbonylové skupiny v molekulách monosacharidů způsobuje jejich redukční vlastnosti. Tyto redukční vlastnosti lze prokázat Fehlingovým, respektive Tollensovým činidlem. </w:t>
      </w:r>
    </w:p>
    <w:p w:rsidR="00C74475" w:rsidRPr="0033174E" w:rsidRDefault="00C74475" w:rsidP="00B46ED8">
      <w:pPr>
        <w:jc w:val="both"/>
        <w:rPr>
          <w:rFonts w:cs="Times New Roman"/>
          <w:i/>
          <w:sz w:val="20"/>
          <w:szCs w:val="20"/>
        </w:rPr>
      </w:pPr>
      <w:r w:rsidRPr="0033174E">
        <w:rPr>
          <w:rFonts w:cs="Times New Roman"/>
          <w:i/>
          <w:sz w:val="20"/>
          <w:szCs w:val="20"/>
        </w:rPr>
        <w:t>Z dostupných zdrojů nastudujte a stručně zapište Fehlingovu a Tollensovu zkoušku na redukční vlastnosti monosacharidů.</w:t>
      </w:r>
    </w:p>
    <w:p w:rsidR="00C33080" w:rsidRDefault="00C33080" w:rsidP="00B46ED8">
      <w:pPr>
        <w:jc w:val="both"/>
        <w:rPr>
          <w:rFonts w:cs="Times New Roman"/>
          <w:i/>
          <w:sz w:val="18"/>
          <w:szCs w:val="18"/>
        </w:rPr>
      </w:pPr>
      <w:bookmarkStart w:id="0" w:name="_GoBack"/>
      <w:bookmarkEnd w:id="0"/>
    </w:p>
    <w:p w:rsidR="00C33080" w:rsidRDefault="00C33080" w:rsidP="00B46ED8">
      <w:pPr>
        <w:jc w:val="both"/>
        <w:rPr>
          <w:rFonts w:cs="Times New Roman"/>
          <w:i/>
          <w:sz w:val="18"/>
          <w:szCs w:val="18"/>
        </w:rPr>
      </w:pPr>
    </w:p>
    <w:p w:rsidR="00C33080" w:rsidRDefault="00C33080" w:rsidP="00B46ED8">
      <w:pPr>
        <w:jc w:val="both"/>
        <w:rPr>
          <w:rFonts w:cs="Times New Roman"/>
          <w:i/>
          <w:sz w:val="18"/>
          <w:szCs w:val="18"/>
        </w:rPr>
      </w:pPr>
    </w:p>
    <w:p w:rsidR="00C33080" w:rsidRDefault="00C33080" w:rsidP="00B46ED8">
      <w:pPr>
        <w:jc w:val="both"/>
        <w:rPr>
          <w:rFonts w:cs="Times New Roman"/>
          <w:i/>
          <w:sz w:val="18"/>
          <w:szCs w:val="18"/>
        </w:rPr>
      </w:pPr>
    </w:p>
    <w:p w:rsidR="00C33080" w:rsidRDefault="00C33080" w:rsidP="00B46ED8">
      <w:pPr>
        <w:jc w:val="both"/>
        <w:rPr>
          <w:rFonts w:cs="Times New Roman"/>
          <w:i/>
          <w:sz w:val="18"/>
          <w:szCs w:val="18"/>
        </w:rPr>
      </w:pPr>
    </w:p>
    <w:p w:rsidR="00C33080" w:rsidRDefault="00C33080" w:rsidP="00B46ED8">
      <w:pPr>
        <w:jc w:val="both"/>
        <w:rPr>
          <w:rFonts w:cs="Times New Roman"/>
          <w:sz w:val="20"/>
          <w:szCs w:val="20"/>
        </w:rPr>
      </w:pPr>
      <w:r>
        <w:rPr>
          <w:rFonts w:cs="Times New Roman"/>
          <w:sz w:val="20"/>
          <w:szCs w:val="20"/>
        </w:rPr>
        <w:t>Literatura:</w:t>
      </w:r>
    </w:p>
    <w:p w:rsidR="00C33080" w:rsidRPr="00C33080" w:rsidRDefault="00C33080" w:rsidP="00C33080">
      <w:pPr>
        <w:pStyle w:val="Odstavecseseznamem"/>
        <w:numPr>
          <w:ilvl w:val="0"/>
          <w:numId w:val="4"/>
        </w:numPr>
        <w:jc w:val="both"/>
        <w:rPr>
          <w:rFonts w:cs="Times New Roman"/>
          <w:sz w:val="20"/>
          <w:szCs w:val="20"/>
        </w:rPr>
      </w:pPr>
      <w:r w:rsidRPr="00C33080">
        <w:rPr>
          <w:sz w:val="20"/>
          <w:szCs w:val="20"/>
        </w:rPr>
        <w:t xml:space="preserve">KLOUDA, Pavel. </w:t>
      </w:r>
      <w:r w:rsidRPr="00C33080">
        <w:rPr>
          <w:i/>
          <w:iCs/>
          <w:sz w:val="20"/>
          <w:szCs w:val="20"/>
        </w:rPr>
        <w:t>Základy biochemie</w:t>
      </w:r>
      <w:r w:rsidRPr="00C33080">
        <w:rPr>
          <w:sz w:val="20"/>
          <w:szCs w:val="20"/>
        </w:rPr>
        <w:t>. 2. přeprac. vyd. Ostrava: Nakladatelství Pavel Klouda, 2005, 144 s. ISBN 80-863-6911-0.</w:t>
      </w:r>
    </w:p>
    <w:p w:rsidR="00C33080" w:rsidRPr="00C33080" w:rsidRDefault="00C33080" w:rsidP="00C33080">
      <w:pPr>
        <w:jc w:val="both"/>
        <w:rPr>
          <w:rFonts w:cs="Times New Roman"/>
          <w:sz w:val="20"/>
          <w:szCs w:val="20"/>
        </w:rPr>
      </w:pPr>
    </w:p>
    <w:sectPr w:rsidR="00C33080" w:rsidRPr="00C33080" w:rsidSect="00066D5B">
      <w:headerReference w:type="default" r:id="rId27"/>
      <w:footerReference w:type="default" r:id="rId28"/>
      <w:pgSz w:w="11906" w:h="16838"/>
      <w:pgMar w:top="2233" w:right="1417" w:bottom="1417" w:left="1417" w:header="141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D8E" w:rsidRDefault="00FD4D8E" w:rsidP="003F411E">
      <w:pPr>
        <w:spacing w:after="0" w:line="240" w:lineRule="auto"/>
      </w:pPr>
      <w:r>
        <w:separator/>
      </w:r>
    </w:p>
  </w:endnote>
  <w:endnote w:type="continuationSeparator" w:id="0">
    <w:p w:rsidR="00FD4D8E" w:rsidRDefault="00FD4D8E" w:rsidP="003F4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09" w:rsidRDefault="007E7509" w:rsidP="003F411E">
    <w:pPr>
      <w:pStyle w:val="Hlavikaadresa"/>
      <w:jc w:val="center"/>
    </w:pPr>
    <w:r>
      <w:t xml:space="preserve">Digitální učební materiál byl vytvořen v rámci projektu </w:t>
    </w:r>
  </w:p>
  <w:p w:rsidR="007E7509" w:rsidRDefault="007E7509" w:rsidP="003F411E">
    <w:pPr>
      <w:pStyle w:val="Zpat"/>
      <w:jc w:val="center"/>
      <w:rPr>
        <w:rFonts w:ascii="Times New Roman" w:eastAsia="Times New Roman" w:hAnsi="Times New Roman" w:cs="Times New Roman"/>
        <w:b/>
        <w:sz w:val="20"/>
        <w:szCs w:val="20"/>
      </w:rPr>
    </w:pPr>
    <w:r w:rsidRPr="003F411E">
      <w:rPr>
        <w:rFonts w:ascii="Times New Roman" w:eastAsia="Times New Roman" w:hAnsi="Times New Roman" w:cs="Times New Roman"/>
        <w:b/>
        <w:sz w:val="20"/>
        <w:szCs w:val="20"/>
      </w:rPr>
      <w:t>Inovace a zkvalitnění výuky na Slovanském gymnáziu</w:t>
    </w:r>
  </w:p>
  <w:p w:rsidR="007E7509" w:rsidRDefault="007E7509" w:rsidP="003F411E">
    <w:pPr>
      <w:pStyle w:val="Zpat"/>
      <w:jc w:val="center"/>
    </w:pPr>
    <w:r w:rsidRPr="003F411E">
      <w:rPr>
        <w:b/>
        <w:sz w:val="16"/>
        <w:szCs w:val="16"/>
      </w:rPr>
      <w:t>CZ.1.07/1.5.00/34.1088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D8E" w:rsidRDefault="00FD4D8E" w:rsidP="003F411E">
      <w:pPr>
        <w:spacing w:after="0" w:line="240" w:lineRule="auto"/>
      </w:pPr>
      <w:r>
        <w:separator/>
      </w:r>
    </w:p>
  </w:footnote>
  <w:footnote w:type="continuationSeparator" w:id="0">
    <w:p w:rsidR="00FD4D8E" w:rsidRDefault="00FD4D8E" w:rsidP="003F4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09" w:rsidRDefault="007E7509" w:rsidP="003F411E">
    <w:pPr>
      <w:pStyle w:val="Zhlav"/>
      <w:jc w:val="center"/>
    </w:pPr>
    <w:r>
      <w:rPr>
        <w:noProof/>
      </w:rPr>
      <w:drawing>
        <wp:anchor distT="0" distB="0" distL="0" distR="0" simplePos="0" relativeHeight="251658240" behindDoc="0" locked="0" layoutInCell="1" allowOverlap="1">
          <wp:simplePos x="0" y="0"/>
          <wp:positionH relativeFrom="column">
            <wp:posOffset>462280</wp:posOffset>
          </wp:positionH>
          <wp:positionV relativeFrom="paragraph">
            <wp:posOffset>-840740</wp:posOffset>
          </wp:positionV>
          <wp:extent cx="4493260" cy="1095375"/>
          <wp:effectExtent l="19050" t="0" r="2540" b="0"/>
          <wp:wrapSquare wrapText="larges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93260" cy="109537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744"/>
    <w:multiLevelType w:val="hybridMultilevel"/>
    <w:tmpl w:val="F5A44060"/>
    <w:lvl w:ilvl="0" w:tplc="F41A2050">
      <w:start w:val="1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CD0F29"/>
    <w:multiLevelType w:val="hybridMultilevel"/>
    <w:tmpl w:val="12F83A5A"/>
    <w:lvl w:ilvl="0" w:tplc="0AFCD092">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C04978"/>
    <w:multiLevelType w:val="hybridMultilevel"/>
    <w:tmpl w:val="998E479E"/>
    <w:lvl w:ilvl="0" w:tplc="54E4034A">
      <w:start w:val="1"/>
      <w:numFmt w:val="decimal"/>
      <w:lvlText w:val="%1."/>
      <w:lvlJc w:val="left"/>
      <w:pPr>
        <w:ind w:left="720" w:hanging="360"/>
      </w:pPr>
      <w:rPr>
        <w:rFonts w:cstheme="minorBid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1E842DD"/>
    <w:multiLevelType w:val="hybridMultilevel"/>
    <w:tmpl w:val="5268C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
  <w:rsids>
    <w:rsidRoot w:val="003F411E"/>
    <w:rsid w:val="0000057D"/>
    <w:rsid w:val="00003AC0"/>
    <w:rsid w:val="00004E20"/>
    <w:rsid w:val="00005878"/>
    <w:rsid w:val="00015B83"/>
    <w:rsid w:val="0005242E"/>
    <w:rsid w:val="00066D5B"/>
    <w:rsid w:val="00080C02"/>
    <w:rsid w:val="000864C2"/>
    <w:rsid w:val="00093A25"/>
    <w:rsid w:val="000C38CA"/>
    <w:rsid w:val="00116CC6"/>
    <w:rsid w:val="00130A2B"/>
    <w:rsid w:val="00151FC4"/>
    <w:rsid w:val="00165CAE"/>
    <w:rsid w:val="001944CF"/>
    <w:rsid w:val="001B2E49"/>
    <w:rsid w:val="001C69A1"/>
    <w:rsid w:val="001E6CBE"/>
    <w:rsid w:val="001F38D8"/>
    <w:rsid w:val="001F58F3"/>
    <w:rsid w:val="002003BF"/>
    <w:rsid w:val="00290E30"/>
    <w:rsid w:val="002B10AA"/>
    <w:rsid w:val="0033174E"/>
    <w:rsid w:val="00355F48"/>
    <w:rsid w:val="00371C07"/>
    <w:rsid w:val="00392E5C"/>
    <w:rsid w:val="003C4F5D"/>
    <w:rsid w:val="003D1696"/>
    <w:rsid w:val="003F2E6A"/>
    <w:rsid w:val="003F411E"/>
    <w:rsid w:val="00405D72"/>
    <w:rsid w:val="004204CF"/>
    <w:rsid w:val="0042553C"/>
    <w:rsid w:val="00454BB3"/>
    <w:rsid w:val="00457942"/>
    <w:rsid w:val="00467D40"/>
    <w:rsid w:val="004738FC"/>
    <w:rsid w:val="00497A9A"/>
    <w:rsid w:val="004A2583"/>
    <w:rsid w:val="004C540D"/>
    <w:rsid w:val="00501642"/>
    <w:rsid w:val="0053513E"/>
    <w:rsid w:val="00561BBE"/>
    <w:rsid w:val="005840C2"/>
    <w:rsid w:val="00584FEC"/>
    <w:rsid w:val="0058614B"/>
    <w:rsid w:val="005A303D"/>
    <w:rsid w:val="005B65E6"/>
    <w:rsid w:val="005C3E48"/>
    <w:rsid w:val="005D009F"/>
    <w:rsid w:val="005D761F"/>
    <w:rsid w:val="005E6231"/>
    <w:rsid w:val="005F13B3"/>
    <w:rsid w:val="00606F98"/>
    <w:rsid w:val="006117AC"/>
    <w:rsid w:val="00611D00"/>
    <w:rsid w:val="006158FA"/>
    <w:rsid w:val="0062303A"/>
    <w:rsid w:val="00635DD2"/>
    <w:rsid w:val="006B2BC2"/>
    <w:rsid w:val="007025B8"/>
    <w:rsid w:val="007246FB"/>
    <w:rsid w:val="00733F4C"/>
    <w:rsid w:val="00745662"/>
    <w:rsid w:val="00750632"/>
    <w:rsid w:val="00750FF2"/>
    <w:rsid w:val="00756523"/>
    <w:rsid w:val="00771B61"/>
    <w:rsid w:val="00772F6D"/>
    <w:rsid w:val="00773CF0"/>
    <w:rsid w:val="00773D6C"/>
    <w:rsid w:val="00774E22"/>
    <w:rsid w:val="0077620E"/>
    <w:rsid w:val="007851E7"/>
    <w:rsid w:val="007D113B"/>
    <w:rsid w:val="007D6082"/>
    <w:rsid w:val="007E6471"/>
    <w:rsid w:val="007E7374"/>
    <w:rsid w:val="007E7509"/>
    <w:rsid w:val="0083090B"/>
    <w:rsid w:val="00834DB9"/>
    <w:rsid w:val="00853FE9"/>
    <w:rsid w:val="00892D14"/>
    <w:rsid w:val="008A1271"/>
    <w:rsid w:val="008A59E9"/>
    <w:rsid w:val="008A7B10"/>
    <w:rsid w:val="008B0C7E"/>
    <w:rsid w:val="008F76DA"/>
    <w:rsid w:val="00920474"/>
    <w:rsid w:val="00920ECD"/>
    <w:rsid w:val="009531ED"/>
    <w:rsid w:val="009657CD"/>
    <w:rsid w:val="00966C68"/>
    <w:rsid w:val="00987B6E"/>
    <w:rsid w:val="009C34AD"/>
    <w:rsid w:val="009D00B9"/>
    <w:rsid w:val="009E29C6"/>
    <w:rsid w:val="009E2E92"/>
    <w:rsid w:val="00A0684F"/>
    <w:rsid w:val="00A3394F"/>
    <w:rsid w:val="00A45473"/>
    <w:rsid w:val="00A84F29"/>
    <w:rsid w:val="00A85971"/>
    <w:rsid w:val="00A86370"/>
    <w:rsid w:val="00AA1589"/>
    <w:rsid w:val="00AC3558"/>
    <w:rsid w:val="00B1240D"/>
    <w:rsid w:val="00B46ED8"/>
    <w:rsid w:val="00B5636D"/>
    <w:rsid w:val="00B80061"/>
    <w:rsid w:val="00B95768"/>
    <w:rsid w:val="00BA121A"/>
    <w:rsid w:val="00BA21A8"/>
    <w:rsid w:val="00BB24CB"/>
    <w:rsid w:val="00BE45CE"/>
    <w:rsid w:val="00BF1DF7"/>
    <w:rsid w:val="00C33080"/>
    <w:rsid w:val="00C41705"/>
    <w:rsid w:val="00C67F6A"/>
    <w:rsid w:val="00C74475"/>
    <w:rsid w:val="00CA2C3E"/>
    <w:rsid w:val="00CB5DA0"/>
    <w:rsid w:val="00CB75C1"/>
    <w:rsid w:val="00CC7ABE"/>
    <w:rsid w:val="00D62E70"/>
    <w:rsid w:val="00D6545E"/>
    <w:rsid w:val="00D66BD8"/>
    <w:rsid w:val="00D7296B"/>
    <w:rsid w:val="00D778BB"/>
    <w:rsid w:val="00D8312B"/>
    <w:rsid w:val="00DC50A5"/>
    <w:rsid w:val="00DD0485"/>
    <w:rsid w:val="00DE452B"/>
    <w:rsid w:val="00E048BD"/>
    <w:rsid w:val="00E143CC"/>
    <w:rsid w:val="00E26D5A"/>
    <w:rsid w:val="00E32DA8"/>
    <w:rsid w:val="00E664BF"/>
    <w:rsid w:val="00E82AFD"/>
    <w:rsid w:val="00EA4773"/>
    <w:rsid w:val="00ED2582"/>
    <w:rsid w:val="00EE5979"/>
    <w:rsid w:val="00EF30DB"/>
    <w:rsid w:val="00EF3F17"/>
    <w:rsid w:val="00F21FFE"/>
    <w:rsid w:val="00F233B3"/>
    <w:rsid w:val="00F336A9"/>
    <w:rsid w:val="00F5618F"/>
    <w:rsid w:val="00F61337"/>
    <w:rsid w:val="00F73882"/>
    <w:rsid w:val="00FB6904"/>
    <w:rsid w:val="00FB79CF"/>
    <w:rsid w:val="00FD4D8E"/>
    <w:rsid w:val="00FF513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0C0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41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411E"/>
  </w:style>
  <w:style w:type="paragraph" w:styleId="Zpat">
    <w:name w:val="footer"/>
    <w:basedOn w:val="Normln"/>
    <w:link w:val="ZpatChar"/>
    <w:unhideWhenUsed/>
    <w:rsid w:val="003F411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F411E"/>
  </w:style>
  <w:style w:type="paragraph" w:styleId="Textbubliny">
    <w:name w:val="Balloon Text"/>
    <w:basedOn w:val="Normln"/>
    <w:link w:val="TextbublinyChar"/>
    <w:uiPriority w:val="99"/>
    <w:semiHidden/>
    <w:unhideWhenUsed/>
    <w:rsid w:val="003F41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11E"/>
    <w:rPr>
      <w:rFonts w:ascii="Tahoma" w:hAnsi="Tahoma" w:cs="Tahoma"/>
      <w:sz w:val="16"/>
      <w:szCs w:val="16"/>
    </w:rPr>
  </w:style>
  <w:style w:type="paragraph" w:customStyle="1" w:styleId="Hlavikaadresa">
    <w:name w:val="Hlavička adresa"/>
    <w:basedOn w:val="Normln"/>
    <w:rsid w:val="003F411E"/>
    <w:pPr>
      <w:widowControl w:val="0"/>
      <w:spacing w:after="0" w:line="240" w:lineRule="auto"/>
      <w:jc w:val="both"/>
    </w:pPr>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4C540D"/>
    <w:rPr>
      <w:color w:val="0000FF" w:themeColor="hyperlink"/>
      <w:u w:val="single"/>
    </w:rPr>
  </w:style>
  <w:style w:type="character" w:styleId="Sledovanodkaz">
    <w:name w:val="FollowedHyperlink"/>
    <w:basedOn w:val="Standardnpsmoodstavce"/>
    <w:uiPriority w:val="99"/>
    <w:semiHidden/>
    <w:unhideWhenUsed/>
    <w:rsid w:val="008F76DA"/>
    <w:rPr>
      <w:color w:val="800080" w:themeColor="followedHyperlink"/>
      <w:u w:val="single"/>
    </w:rPr>
  </w:style>
  <w:style w:type="character" w:customStyle="1" w:styleId="reference-text">
    <w:name w:val="reference-text"/>
    <w:basedOn w:val="Standardnpsmoodstavce"/>
    <w:rsid w:val="00E664BF"/>
  </w:style>
  <w:style w:type="table" w:styleId="Mkatabulky">
    <w:name w:val="Table Grid"/>
    <w:basedOn w:val="Normlntabulka"/>
    <w:uiPriority w:val="59"/>
    <w:rsid w:val="006B2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E048BD"/>
    <w:pPr>
      <w:ind w:left="720"/>
      <w:contextualSpacing/>
    </w:pPr>
  </w:style>
</w:styles>
</file>

<file path=word/webSettings.xml><?xml version="1.0" encoding="utf-8"?>
<w:webSettings xmlns:r="http://schemas.openxmlformats.org/officeDocument/2006/relationships" xmlns:w="http://schemas.openxmlformats.org/wordprocessingml/2006/main">
  <w:divs>
    <w:div w:id="2765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3337</Characters>
  <Application>Microsoft Office Word</Application>
  <DocSecurity>4</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PrF UP Olomouc</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lachnitova</dc:creator>
  <cp:lastModifiedBy>jakubcova</cp:lastModifiedBy>
  <cp:revision>2</cp:revision>
  <cp:lastPrinted>2014-05-09T06:52:00Z</cp:lastPrinted>
  <dcterms:created xsi:type="dcterms:W3CDTF">2020-09-18T12:44:00Z</dcterms:created>
  <dcterms:modified xsi:type="dcterms:W3CDTF">2020-09-18T12:44:00Z</dcterms:modified>
</cp:coreProperties>
</file>