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3F2" w:rsidRDefault="001F53F2" w:rsidP="001F53F2">
      <w:pPr>
        <w:pBdr>
          <w:top w:val="single" w:sz="4" w:space="1" w:color="auto"/>
          <w:left w:val="single" w:sz="4" w:space="4" w:color="auto"/>
          <w:bottom w:val="single" w:sz="4" w:space="1" w:color="auto"/>
          <w:right w:val="single" w:sz="4" w:space="4" w:color="auto"/>
        </w:pBdr>
        <w:spacing w:after="0"/>
        <w:jc w:val="center"/>
        <w:rPr>
          <w:b/>
          <w:sz w:val="32"/>
          <w:szCs w:val="32"/>
        </w:rPr>
      </w:pPr>
      <w:r>
        <w:rPr>
          <w:b/>
          <w:sz w:val="32"/>
          <w:szCs w:val="32"/>
        </w:rPr>
        <w:t>Pán prstenů – Společenstvo prstenu (1)</w:t>
      </w:r>
    </w:p>
    <w:p w:rsidR="001F53F2" w:rsidRDefault="001F53F2" w:rsidP="001F53F2">
      <w:pPr>
        <w:pBdr>
          <w:top w:val="single" w:sz="4" w:space="1" w:color="auto"/>
          <w:left w:val="single" w:sz="4" w:space="4" w:color="auto"/>
          <w:bottom w:val="single" w:sz="4" w:space="1" w:color="auto"/>
          <w:right w:val="single" w:sz="4" w:space="4" w:color="auto"/>
        </w:pBdr>
        <w:spacing w:after="0"/>
        <w:jc w:val="center"/>
        <w:rPr>
          <w:b/>
          <w:sz w:val="32"/>
          <w:szCs w:val="32"/>
        </w:rPr>
      </w:pPr>
      <w:r>
        <w:rPr>
          <w:b/>
          <w:sz w:val="32"/>
          <w:szCs w:val="32"/>
        </w:rPr>
        <w:t>J. R. R. Tolkien</w:t>
      </w:r>
    </w:p>
    <w:p w:rsidR="001F53F2" w:rsidRDefault="001F53F2" w:rsidP="001F53F2">
      <w:pPr>
        <w:tabs>
          <w:tab w:val="left" w:pos="2477"/>
        </w:tabs>
        <w:spacing w:after="0"/>
        <w:rPr>
          <w:sz w:val="32"/>
          <w:szCs w:val="32"/>
        </w:rPr>
      </w:pPr>
      <w:r>
        <w:rPr>
          <w:sz w:val="32"/>
          <w:szCs w:val="32"/>
        </w:rPr>
        <w:tab/>
      </w:r>
    </w:p>
    <w:p w:rsidR="001F53F2" w:rsidRDefault="001F53F2" w:rsidP="001F53F2">
      <w:pPr>
        <w:tabs>
          <w:tab w:val="left" w:pos="2477"/>
        </w:tabs>
        <w:spacing w:after="0"/>
        <w:jc w:val="center"/>
      </w:pPr>
      <w:r>
        <w:t>Umělecký výňatek</w:t>
      </w:r>
    </w:p>
    <w:p w:rsidR="001F53F2" w:rsidRDefault="001F53F2" w:rsidP="001F53F2">
      <w:pPr>
        <w:tabs>
          <w:tab w:val="left" w:pos="2477"/>
        </w:tabs>
        <w:spacing w:after="0"/>
      </w:pPr>
    </w:p>
    <w:p w:rsidR="001F53F2" w:rsidRDefault="001F53F2" w:rsidP="001F53F2">
      <w:pPr>
        <w:tabs>
          <w:tab w:val="left" w:pos="2477"/>
        </w:tabs>
        <w:spacing w:after="0"/>
      </w:pPr>
      <w:r>
        <w:t xml:space="preserve">   „Samozřejmě, můj milý </w:t>
      </w:r>
      <w:proofErr w:type="spellStart"/>
      <w:r>
        <w:t>Bilbi</w:t>
      </w:r>
      <w:proofErr w:type="spellEnd"/>
      <w:r>
        <w:t xml:space="preserve">,“ řekl </w:t>
      </w:r>
      <w:proofErr w:type="spellStart"/>
      <w:r>
        <w:t>Gandalf</w:t>
      </w:r>
      <w:proofErr w:type="spellEnd"/>
      <w:r>
        <w:t xml:space="preserve">. „Pokud jste to všechno opravdu začal, dalo by se od vás očekávat, že s tím skoncujete. Ale víte už docela dobře, že </w:t>
      </w:r>
      <w:r>
        <w:rPr>
          <w:i/>
        </w:rPr>
        <w:t>začít</w:t>
      </w:r>
      <w:r>
        <w:t xml:space="preserve"> je pro každého příliš velké slovo a že každý hrdina hraje ve velkých činech jen malou úlohu. Nemusíte se uklánět! Ačkoli jsem to slovo myslel vážně a nepochybujeme, že pod rouškou žertu pronášíte statečnou nabídku. Ale přesahuje vaše síly, </w:t>
      </w:r>
      <w:proofErr w:type="spellStart"/>
      <w:r>
        <w:t>Bilbo</w:t>
      </w:r>
      <w:proofErr w:type="spellEnd"/>
      <w:r>
        <w:t>. Nemůžete vzít Prsten zpátky. Opustil vás. Jestli ještě potřebujete mou radu, řekl bych, že vaše úloha je skončena a teď máte jen zaznamenávat. Dokončete svou knihu a nechte závěr nezměněný. Ještě je na něj naděje. Připravte se však psát pokračování, až přijdou zpátky.“</w:t>
      </w:r>
    </w:p>
    <w:p w:rsidR="001F53F2" w:rsidRDefault="001F53F2" w:rsidP="001F53F2">
      <w:pPr>
        <w:tabs>
          <w:tab w:val="left" w:pos="2477"/>
        </w:tabs>
        <w:spacing w:after="0"/>
      </w:pPr>
      <w:r>
        <w:t xml:space="preserve">   </w:t>
      </w:r>
      <w:proofErr w:type="spellStart"/>
      <w:r>
        <w:t>Bilbo</w:t>
      </w:r>
      <w:proofErr w:type="spellEnd"/>
      <w:r>
        <w:t xml:space="preserve"> se zasmál. „Nevzpomínám si, že byste mi byl zatím někdy dal příjemnou radu,“ řekl</w:t>
      </w:r>
      <w:r w:rsidR="000B3BE8">
        <w:t>. „Protože všechny vaše nepříjemné rady byly dobré, jsem zvědav, jestli tahle nebude špatná. Stejně už asi nemám dost sil ani štěstí, abych se s tím Prstenem vypořádal. Vyrostl, a já ne. Ale povězte mi, kdo má přijít zpátky?“</w:t>
      </w:r>
    </w:p>
    <w:p w:rsidR="000B3BE8" w:rsidRDefault="000B3BE8" w:rsidP="001F53F2">
      <w:pPr>
        <w:tabs>
          <w:tab w:val="left" w:pos="2477"/>
        </w:tabs>
        <w:spacing w:after="0"/>
      </w:pPr>
      <w:r>
        <w:t xml:space="preserve">   „Poslové, kteří budou vysláni s Prstenem.“</w:t>
      </w:r>
    </w:p>
    <w:p w:rsidR="000B3BE8" w:rsidRDefault="000B3BE8" w:rsidP="001F53F2">
      <w:pPr>
        <w:tabs>
          <w:tab w:val="left" w:pos="2477"/>
        </w:tabs>
        <w:spacing w:after="0"/>
      </w:pPr>
      <w:r>
        <w:t xml:space="preserve">   „Přesně! A kdo to bude? Právě tohle a nic jiného má podle mne Rada rozhodnout. Elfové třeba mohou žít jen z řečí a trpaslíci snesou velkou únavu, ale já jsem jen starý hobit a v poledne mi schází oběd. Nemohli byste si teď vymyslet nějaká jména? Nebo to odložit na odpoledne?“</w:t>
      </w:r>
    </w:p>
    <w:p w:rsidR="000B3BE8" w:rsidRDefault="000B3BE8" w:rsidP="001F53F2">
      <w:pPr>
        <w:tabs>
          <w:tab w:val="left" w:pos="2477"/>
        </w:tabs>
        <w:spacing w:after="0"/>
      </w:pPr>
    </w:p>
    <w:p w:rsidR="000B3BE8" w:rsidRDefault="000B3BE8" w:rsidP="001F53F2">
      <w:pPr>
        <w:tabs>
          <w:tab w:val="left" w:pos="2477"/>
        </w:tabs>
        <w:spacing w:after="0"/>
      </w:pPr>
      <w:r>
        <w:t xml:space="preserve">   Nikdo neodpovídal. Polední zvonek zacinkal. Stále nikdo nepromluvil. Frodo pohlédl na všechny tváře, ale nebyly obráceny k němu. Celá Rada seděla se sklopenýma očima jako v hlubokém zamyšlení. Padl na něho veliký děs, jako by čekal na vynesení ortele, který dlouho předvídal, a marně doufal, že nebude nikdy vyřčen. Srdce mu zaplavila veliká touha odpočívat a zůstat v klidu po </w:t>
      </w:r>
      <w:proofErr w:type="spellStart"/>
      <w:r>
        <w:t>Bilbově</w:t>
      </w:r>
      <w:proofErr w:type="spellEnd"/>
      <w:r>
        <w:t xml:space="preserve"> boku v Roklince.</w:t>
      </w:r>
    </w:p>
    <w:p w:rsidR="000B3BE8" w:rsidRDefault="000B3BE8" w:rsidP="001F53F2">
      <w:pPr>
        <w:tabs>
          <w:tab w:val="left" w:pos="2477"/>
        </w:tabs>
        <w:spacing w:after="0"/>
      </w:pPr>
      <w:r>
        <w:t xml:space="preserve">   A pak s námahou promluvil a užasl nad vlastními slovy, jako kdyby nějaká jiná vůle používala jeho hlas.</w:t>
      </w:r>
    </w:p>
    <w:p w:rsidR="000B3BE8" w:rsidRDefault="000B3BE8" w:rsidP="001F53F2">
      <w:pPr>
        <w:tabs>
          <w:tab w:val="left" w:pos="2477"/>
        </w:tabs>
        <w:spacing w:after="0"/>
      </w:pPr>
      <w:r>
        <w:t xml:space="preserve">   „Ponesu Prsten,“ řekl, „ačkoli neznám cestu.“</w:t>
      </w:r>
    </w:p>
    <w:p w:rsidR="00CD7249" w:rsidRDefault="00CD7249" w:rsidP="001F53F2">
      <w:pPr>
        <w:tabs>
          <w:tab w:val="left" w:pos="2477"/>
        </w:tabs>
        <w:spacing w:after="0"/>
      </w:pPr>
    </w:p>
    <w:p w:rsidR="00CD7249" w:rsidRDefault="00CD7249" w:rsidP="001F53F2">
      <w:pPr>
        <w:tabs>
          <w:tab w:val="left" w:pos="2477"/>
        </w:tabs>
        <w:spacing w:after="0"/>
      </w:pPr>
    </w:p>
    <w:p w:rsidR="00CD7249" w:rsidRDefault="00CD7249" w:rsidP="00CD7249">
      <w:pPr>
        <w:tabs>
          <w:tab w:val="left" w:pos="2477"/>
        </w:tabs>
        <w:spacing w:after="0"/>
        <w:jc w:val="center"/>
      </w:pPr>
      <w:r>
        <w:t>Neumělecký výňatek</w:t>
      </w:r>
    </w:p>
    <w:p w:rsidR="00CD7249" w:rsidRDefault="00CD7249" w:rsidP="00CD7249">
      <w:pPr>
        <w:tabs>
          <w:tab w:val="left" w:pos="2477"/>
        </w:tabs>
        <w:spacing w:after="0"/>
        <w:jc w:val="center"/>
      </w:pPr>
    </w:p>
    <w:p w:rsidR="00CD7249" w:rsidRPr="00CD7249" w:rsidRDefault="00CD7249" w:rsidP="00CD7249">
      <w:pPr>
        <w:spacing w:after="120" w:line="240" w:lineRule="auto"/>
        <w:outlineLvl w:val="0"/>
        <w:rPr>
          <w:rFonts w:eastAsia="Times New Roman" w:cstheme="minorHAnsi"/>
          <w:b/>
          <w:bCs/>
          <w:kern w:val="36"/>
          <w:lang w:eastAsia="cs-CZ"/>
        </w:rPr>
      </w:pPr>
      <w:r w:rsidRPr="00CD7249">
        <w:rPr>
          <w:rFonts w:eastAsia="Times New Roman" w:cstheme="minorHAnsi"/>
          <w:b/>
          <w:bCs/>
          <w:kern w:val="36"/>
          <w:lang w:eastAsia="cs-CZ"/>
        </w:rPr>
        <w:t>Pán prstenů: film z radosti pro radost</w:t>
      </w:r>
    </w:p>
    <w:p w:rsidR="00CD7249" w:rsidRPr="00CD7249" w:rsidRDefault="00CD7249" w:rsidP="00CD7249">
      <w:pPr>
        <w:spacing w:after="120" w:line="240" w:lineRule="auto"/>
        <w:rPr>
          <w:rFonts w:eastAsia="Times New Roman" w:cstheme="minorHAnsi"/>
          <w:b/>
          <w:lang w:eastAsia="cs-CZ"/>
        </w:rPr>
      </w:pPr>
      <w:r w:rsidRPr="00CD7249">
        <w:rPr>
          <w:rFonts w:eastAsia="Times New Roman" w:cstheme="minorHAnsi"/>
          <w:b/>
          <w:lang w:eastAsia="cs-CZ"/>
        </w:rPr>
        <w:t xml:space="preserve">Český divák dostává dva hity sezony, Pána prstenů a </w:t>
      </w:r>
      <w:proofErr w:type="spellStart"/>
      <w:r w:rsidRPr="00CD7249">
        <w:rPr>
          <w:rFonts w:eastAsia="Times New Roman" w:cstheme="minorHAnsi"/>
          <w:b/>
          <w:lang w:eastAsia="cs-CZ"/>
        </w:rPr>
        <w:t>Harryho</w:t>
      </w:r>
      <w:proofErr w:type="spellEnd"/>
      <w:r w:rsidRPr="00CD7249">
        <w:rPr>
          <w:rFonts w:eastAsia="Times New Roman" w:cstheme="minorHAnsi"/>
          <w:b/>
          <w:lang w:eastAsia="cs-CZ"/>
        </w:rPr>
        <w:t xml:space="preserve"> </w:t>
      </w:r>
      <w:proofErr w:type="spellStart"/>
      <w:r w:rsidRPr="00CD7249">
        <w:rPr>
          <w:rFonts w:eastAsia="Times New Roman" w:cstheme="minorHAnsi"/>
          <w:b/>
          <w:lang w:eastAsia="cs-CZ"/>
        </w:rPr>
        <w:t>Pottera</w:t>
      </w:r>
      <w:proofErr w:type="spellEnd"/>
      <w:r w:rsidRPr="00CD7249">
        <w:rPr>
          <w:rFonts w:eastAsia="Times New Roman" w:cstheme="minorHAnsi"/>
          <w:b/>
          <w:lang w:eastAsia="cs-CZ"/>
        </w:rPr>
        <w:t>, v opačném gardu nežli angloamerický svět. Podle tamní kritiky tedy máme dřív "to lepší": přepis prvního dílu Tolkienovy trilogie o zemi, již plně stvořila autorova fantazie, vyráží ve čtvrtek do zdejších kin. Odmyšleno od senzací, reklamy a rekordních tržeb, je Pán prstenů - Společenstvo prstenu opravdu dobrý film?</w:t>
      </w:r>
    </w:p>
    <w:p w:rsidR="00CD7249" w:rsidRPr="00CD7249" w:rsidRDefault="00CD7249" w:rsidP="00CD7249">
      <w:pPr>
        <w:spacing w:after="0" w:line="240" w:lineRule="auto"/>
        <w:rPr>
          <w:rFonts w:eastAsia="Times New Roman" w:cstheme="minorHAnsi"/>
          <w:lang w:eastAsia="cs-CZ"/>
        </w:rPr>
      </w:pPr>
      <w:r w:rsidRPr="00CD7249">
        <w:rPr>
          <w:rFonts w:eastAsia="Times New Roman" w:cstheme="minorHAnsi"/>
          <w:lang w:eastAsia="cs-CZ"/>
        </w:rPr>
        <w:t>Je. Stvrzuje, že ani literární legenda není nedotknutelná, pokud ji filmař nevnímá coby opatrný tanec mezi vejci, nýbrž jako příběh vyprávěný z vlastní radosti pro radost druhých. Což novozélandský režisér Peter Jackson učinil. Stalo se sice módou označovat jeho úspěch za vítězství nenápadného Davida nad hollywoodskými Goliáši, ovšem nakonec snímek stejně uvádí obří studio. A hlavně: dnes už kinematografie představuje záležitost natolik nadnárodní, že fandění „malým“ proti „velkým“, či naopak ztrácí smysl. Rozhodují osobnosti a Jackson je šikovný, hravý filmař, jemuž žánr fantasy sedl. To je vše a je to dost; zázraky nežádejme.</w:t>
      </w:r>
    </w:p>
    <w:tbl>
      <w:tblPr>
        <w:tblW w:w="4470" w:type="dxa"/>
        <w:tblCellSpacing w:w="15" w:type="dxa"/>
        <w:tblCellMar>
          <w:left w:w="0" w:type="dxa"/>
          <w:right w:w="0" w:type="dxa"/>
        </w:tblCellMar>
        <w:tblLook w:val="04A0" w:firstRow="1" w:lastRow="0" w:firstColumn="1" w:lastColumn="0" w:noHBand="0" w:noVBand="1"/>
      </w:tblPr>
      <w:tblGrid>
        <w:gridCol w:w="4470"/>
      </w:tblGrid>
      <w:tr w:rsidR="00CD7249" w:rsidRPr="00CD7249" w:rsidTr="00CD7249">
        <w:trPr>
          <w:tblCellSpacing w:w="15" w:type="dxa"/>
        </w:trPr>
        <w:tc>
          <w:tcPr>
            <w:tcW w:w="0" w:type="auto"/>
            <w:vAlign w:val="center"/>
            <w:hideMark/>
          </w:tcPr>
          <w:p w:rsidR="00CD7249" w:rsidRPr="00CD7249" w:rsidRDefault="00CD7249" w:rsidP="00CD7249">
            <w:pPr>
              <w:spacing w:before="100" w:beforeAutospacing="1" w:after="100" w:afterAutospacing="1" w:line="240" w:lineRule="auto"/>
              <w:rPr>
                <w:rFonts w:eastAsia="Times New Roman" w:cstheme="minorHAnsi"/>
                <w:lang w:eastAsia="cs-CZ"/>
              </w:rPr>
            </w:pPr>
          </w:p>
        </w:tc>
      </w:tr>
    </w:tbl>
    <w:p w:rsidR="00CD7249" w:rsidRPr="00CD7249" w:rsidRDefault="00CD7249" w:rsidP="00CD7249">
      <w:pPr>
        <w:spacing w:after="100" w:afterAutospacing="1" w:line="240" w:lineRule="auto"/>
        <w:rPr>
          <w:rFonts w:eastAsia="Times New Roman" w:cstheme="minorHAnsi"/>
          <w:lang w:eastAsia="cs-CZ"/>
        </w:rPr>
      </w:pPr>
      <w:r w:rsidRPr="00CD7249">
        <w:rPr>
          <w:rFonts w:eastAsia="Times New Roman" w:cstheme="minorHAnsi"/>
          <w:lang w:eastAsia="cs-CZ"/>
        </w:rPr>
        <w:t xml:space="preserve">Při vší efektnosti, neboť výsledek je opravdu hlavně velikou podívanou, vsadil na metodu téměř starosvětskou. Maličcí hobiti, jak kniha předepisuje, nejsou zpitvoření pidimužíci - „zmenšuje“ je hra kamery. Triky působí přirozeně, nečouhá z nich umělost počítačových her. Prsten, čarovný hybatel celého děje, se na hony liší od neškodné tretky z Arabely; umí sice i kouzelnické kousky, ale také tiše, </w:t>
      </w:r>
      <w:proofErr w:type="spellStart"/>
      <w:r w:rsidRPr="00CD7249">
        <w:rPr>
          <w:rFonts w:eastAsia="Times New Roman" w:cstheme="minorHAnsi"/>
          <w:lang w:eastAsia="cs-CZ"/>
        </w:rPr>
        <w:t>zavile</w:t>
      </w:r>
      <w:proofErr w:type="spellEnd"/>
      <w:r w:rsidRPr="00CD7249">
        <w:rPr>
          <w:rFonts w:eastAsia="Times New Roman" w:cstheme="minorHAnsi"/>
          <w:lang w:eastAsia="cs-CZ"/>
        </w:rPr>
        <w:t xml:space="preserve"> a magicky ohrožuje své nositele. V duších lidí seje Prsten silnější hrozbu, než obraz předvádí.</w:t>
      </w:r>
    </w:p>
    <w:p w:rsidR="001F53F2" w:rsidRPr="00CD7249" w:rsidRDefault="001F53F2" w:rsidP="00CD7249">
      <w:pPr>
        <w:tabs>
          <w:tab w:val="left" w:pos="2477"/>
        </w:tabs>
        <w:rPr>
          <w:rFonts w:cstheme="minorHAnsi"/>
        </w:rPr>
      </w:pPr>
      <w:bookmarkStart w:id="0" w:name="_GoBack"/>
      <w:bookmarkEnd w:id="0"/>
    </w:p>
    <w:sectPr w:rsidR="001F53F2" w:rsidRPr="00CD7249" w:rsidSect="00CD7249">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F2"/>
    <w:rsid w:val="000B3BE8"/>
    <w:rsid w:val="001F53F2"/>
    <w:rsid w:val="00683D61"/>
    <w:rsid w:val="00CD7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5405"/>
  <w15:chartTrackingRefBased/>
  <w15:docId w15:val="{AE18F095-161B-47BE-8C89-CFA31F7D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D7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CD724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CD7249"/>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D7249"/>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CD7249"/>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CD724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CD7249"/>
    <w:rPr>
      <w:color w:val="0000FF"/>
      <w:u w:val="single"/>
    </w:rPr>
  </w:style>
  <w:style w:type="character" w:customStyle="1" w:styleId="time">
    <w:name w:val="time"/>
    <w:basedOn w:val="Standardnpsmoodstavce"/>
    <w:rsid w:val="00CD7249"/>
  </w:style>
  <w:style w:type="character" w:customStyle="1" w:styleId="time-date">
    <w:name w:val="time-date"/>
    <w:basedOn w:val="Standardnpsmoodstavce"/>
    <w:rsid w:val="00CD7249"/>
  </w:style>
  <w:style w:type="character" w:styleId="Siln">
    <w:name w:val="Strong"/>
    <w:basedOn w:val="Standardnpsmoodstavce"/>
    <w:uiPriority w:val="22"/>
    <w:qFormat/>
    <w:rsid w:val="00CD7249"/>
    <w:rPr>
      <w:b/>
      <w:bCs/>
    </w:rPr>
  </w:style>
  <w:style w:type="paragraph" w:styleId="Normlnweb">
    <w:name w:val="Normal (Web)"/>
    <w:basedOn w:val="Normln"/>
    <w:uiPriority w:val="99"/>
    <w:semiHidden/>
    <w:unhideWhenUsed/>
    <w:rsid w:val="00CD72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515">
      <w:bodyDiv w:val="1"/>
      <w:marLeft w:val="0"/>
      <w:marRight w:val="0"/>
      <w:marTop w:val="0"/>
      <w:marBottom w:val="0"/>
      <w:divBdr>
        <w:top w:val="none" w:sz="0" w:space="0" w:color="auto"/>
        <w:left w:val="none" w:sz="0" w:space="0" w:color="auto"/>
        <w:bottom w:val="none" w:sz="0" w:space="0" w:color="auto"/>
        <w:right w:val="none" w:sz="0" w:space="0" w:color="auto"/>
      </w:divBdr>
      <w:divsChild>
        <w:div w:id="1105079236">
          <w:marLeft w:val="0"/>
          <w:marRight w:val="0"/>
          <w:marTop w:val="0"/>
          <w:marBottom w:val="0"/>
          <w:divBdr>
            <w:top w:val="none" w:sz="0" w:space="0" w:color="auto"/>
            <w:left w:val="none" w:sz="0" w:space="0" w:color="auto"/>
            <w:bottom w:val="none" w:sz="0" w:space="0" w:color="auto"/>
            <w:right w:val="none" w:sz="0" w:space="0" w:color="auto"/>
          </w:divBdr>
          <w:divsChild>
            <w:div w:id="1202287529">
              <w:marLeft w:val="0"/>
              <w:marRight w:val="0"/>
              <w:marTop w:val="0"/>
              <w:marBottom w:val="0"/>
              <w:divBdr>
                <w:top w:val="none" w:sz="0" w:space="0" w:color="auto"/>
                <w:left w:val="none" w:sz="0" w:space="0" w:color="auto"/>
                <w:bottom w:val="none" w:sz="0" w:space="0" w:color="auto"/>
                <w:right w:val="none" w:sz="0" w:space="0" w:color="auto"/>
              </w:divBdr>
              <w:divsChild>
                <w:div w:id="1907228720">
                  <w:marLeft w:val="0"/>
                  <w:marRight w:val="0"/>
                  <w:marTop w:val="0"/>
                  <w:marBottom w:val="0"/>
                  <w:divBdr>
                    <w:top w:val="none" w:sz="0" w:space="0" w:color="auto"/>
                    <w:left w:val="none" w:sz="0" w:space="0" w:color="auto"/>
                    <w:bottom w:val="none" w:sz="0" w:space="0" w:color="auto"/>
                    <w:right w:val="none" w:sz="0" w:space="0" w:color="auto"/>
                  </w:divBdr>
                  <w:divsChild>
                    <w:div w:id="89352812">
                      <w:marLeft w:val="0"/>
                      <w:marRight w:val="0"/>
                      <w:marTop w:val="0"/>
                      <w:marBottom w:val="0"/>
                      <w:divBdr>
                        <w:top w:val="none" w:sz="0" w:space="0" w:color="auto"/>
                        <w:left w:val="none" w:sz="0" w:space="0" w:color="auto"/>
                        <w:bottom w:val="none" w:sz="0" w:space="0" w:color="auto"/>
                        <w:right w:val="none" w:sz="0" w:space="0" w:color="auto"/>
                      </w:divBdr>
                      <w:divsChild>
                        <w:div w:id="2015764636">
                          <w:marLeft w:val="0"/>
                          <w:marRight w:val="0"/>
                          <w:marTop w:val="0"/>
                          <w:marBottom w:val="0"/>
                          <w:divBdr>
                            <w:top w:val="none" w:sz="0" w:space="0" w:color="auto"/>
                            <w:left w:val="none" w:sz="0" w:space="0" w:color="auto"/>
                            <w:bottom w:val="none" w:sz="0" w:space="0" w:color="auto"/>
                            <w:right w:val="none" w:sz="0" w:space="0" w:color="auto"/>
                          </w:divBdr>
                          <w:divsChild>
                            <w:div w:id="826634687">
                              <w:marLeft w:val="0"/>
                              <w:marRight w:val="0"/>
                              <w:marTop w:val="0"/>
                              <w:marBottom w:val="0"/>
                              <w:divBdr>
                                <w:top w:val="none" w:sz="0" w:space="0" w:color="auto"/>
                                <w:left w:val="none" w:sz="0" w:space="0" w:color="auto"/>
                                <w:bottom w:val="none" w:sz="0" w:space="0" w:color="auto"/>
                                <w:right w:val="none" w:sz="0" w:space="0" w:color="auto"/>
                              </w:divBdr>
                              <w:divsChild>
                                <w:div w:id="859010152">
                                  <w:marLeft w:val="0"/>
                                  <w:marRight w:val="0"/>
                                  <w:marTop w:val="0"/>
                                  <w:marBottom w:val="0"/>
                                  <w:divBdr>
                                    <w:top w:val="none" w:sz="0" w:space="0" w:color="auto"/>
                                    <w:left w:val="none" w:sz="0" w:space="0" w:color="auto"/>
                                    <w:bottom w:val="none" w:sz="0" w:space="0" w:color="auto"/>
                                    <w:right w:val="none" w:sz="0" w:space="0" w:color="auto"/>
                                  </w:divBdr>
                                </w:div>
                                <w:div w:id="1370302912">
                                  <w:marLeft w:val="0"/>
                                  <w:marRight w:val="0"/>
                                  <w:marTop w:val="0"/>
                                  <w:marBottom w:val="0"/>
                                  <w:divBdr>
                                    <w:top w:val="none" w:sz="0" w:space="0" w:color="auto"/>
                                    <w:left w:val="none" w:sz="0" w:space="0" w:color="auto"/>
                                    <w:bottom w:val="none" w:sz="0" w:space="0" w:color="auto"/>
                                    <w:right w:val="none" w:sz="0" w:space="0" w:color="auto"/>
                                  </w:divBdr>
                                </w:div>
                              </w:divsChild>
                            </w:div>
                            <w:div w:id="1606617308">
                              <w:marLeft w:val="0"/>
                              <w:marRight w:val="0"/>
                              <w:marTop w:val="0"/>
                              <w:marBottom w:val="0"/>
                              <w:divBdr>
                                <w:top w:val="none" w:sz="0" w:space="0" w:color="auto"/>
                                <w:left w:val="none" w:sz="0" w:space="0" w:color="auto"/>
                                <w:bottom w:val="none" w:sz="0" w:space="0" w:color="auto"/>
                                <w:right w:val="none" w:sz="0" w:space="0" w:color="auto"/>
                              </w:divBdr>
                            </w:div>
                          </w:divsChild>
                        </w:div>
                        <w:div w:id="589974633">
                          <w:marLeft w:val="0"/>
                          <w:marRight w:val="0"/>
                          <w:marTop w:val="0"/>
                          <w:marBottom w:val="0"/>
                          <w:divBdr>
                            <w:top w:val="none" w:sz="0" w:space="0" w:color="auto"/>
                            <w:left w:val="none" w:sz="0" w:space="0" w:color="auto"/>
                            <w:bottom w:val="none" w:sz="0" w:space="0" w:color="auto"/>
                            <w:right w:val="none" w:sz="0" w:space="0" w:color="auto"/>
                          </w:divBdr>
                        </w:div>
                      </w:divsChild>
                    </w:div>
                    <w:div w:id="1523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611">
          <w:marLeft w:val="270"/>
          <w:marRight w:val="0"/>
          <w:marTop w:val="0"/>
          <w:marBottom w:val="0"/>
          <w:divBdr>
            <w:top w:val="none" w:sz="0" w:space="0" w:color="auto"/>
            <w:left w:val="none" w:sz="0" w:space="0" w:color="auto"/>
            <w:bottom w:val="none" w:sz="0" w:space="0" w:color="auto"/>
            <w:right w:val="none" w:sz="0" w:space="0" w:color="auto"/>
          </w:divBdr>
          <w:divsChild>
            <w:div w:id="778451185">
              <w:marLeft w:val="0"/>
              <w:marRight w:val="0"/>
              <w:marTop w:val="0"/>
              <w:marBottom w:val="0"/>
              <w:divBdr>
                <w:top w:val="none" w:sz="0" w:space="0" w:color="auto"/>
                <w:left w:val="none" w:sz="0" w:space="0" w:color="auto"/>
                <w:bottom w:val="none" w:sz="0" w:space="0" w:color="auto"/>
                <w:right w:val="none" w:sz="0" w:space="0" w:color="auto"/>
              </w:divBdr>
              <w:divsChild>
                <w:div w:id="1955214237">
                  <w:marLeft w:val="0"/>
                  <w:marRight w:val="0"/>
                  <w:marTop w:val="0"/>
                  <w:marBottom w:val="0"/>
                  <w:divBdr>
                    <w:top w:val="none" w:sz="0" w:space="0" w:color="auto"/>
                    <w:left w:val="none" w:sz="0" w:space="0" w:color="auto"/>
                    <w:bottom w:val="none" w:sz="0" w:space="0" w:color="auto"/>
                    <w:right w:val="none" w:sz="0" w:space="0" w:color="auto"/>
                  </w:divBdr>
                  <w:divsChild>
                    <w:div w:id="1987664045">
                      <w:marLeft w:val="0"/>
                      <w:marRight w:val="0"/>
                      <w:marTop w:val="0"/>
                      <w:marBottom w:val="0"/>
                      <w:divBdr>
                        <w:top w:val="none" w:sz="0" w:space="0" w:color="auto"/>
                        <w:left w:val="none" w:sz="0" w:space="0" w:color="auto"/>
                        <w:bottom w:val="none" w:sz="0" w:space="0" w:color="auto"/>
                        <w:right w:val="none" w:sz="0" w:space="0" w:color="auto"/>
                      </w:divBdr>
                      <w:divsChild>
                        <w:div w:id="1844201140">
                          <w:marLeft w:val="0"/>
                          <w:marRight w:val="0"/>
                          <w:marTop w:val="0"/>
                          <w:marBottom w:val="0"/>
                          <w:divBdr>
                            <w:top w:val="none" w:sz="0" w:space="0" w:color="auto"/>
                            <w:left w:val="none" w:sz="0" w:space="0" w:color="auto"/>
                            <w:bottom w:val="none" w:sz="0" w:space="0" w:color="auto"/>
                            <w:right w:val="none" w:sz="0" w:space="0" w:color="auto"/>
                          </w:divBdr>
                          <w:divsChild>
                            <w:div w:id="1536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1BB4854424D4481F7DCD90F6D736C" ma:contentTypeVersion="14" ma:contentTypeDescription="Vytvoří nový dokument" ma:contentTypeScope="" ma:versionID="aae2b018d28f252f2bd981d05d2204c4">
  <xsd:schema xmlns:xsd="http://www.w3.org/2001/XMLSchema" xmlns:xs="http://www.w3.org/2001/XMLSchema" xmlns:p="http://schemas.microsoft.com/office/2006/metadata/properties" xmlns:ns2="6842c61e-1d30-434f-bc23-5626878b9a64" xmlns:ns3="530fc6f0-7122-48e1-bb37-95aaf75eadc4" targetNamespace="http://schemas.microsoft.com/office/2006/metadata/properties" ma:root="true" ma:fieldsID="6c732934133132f855d0eb9998e41787" ns2:_="" ns3:_="">
    <xsd:import namespace="6842c61e-1d30-434f-bc23-5626878b9a64"/>
    <xsd:import namespace="530fc6f0-7122-48e1-bb37-95aaf75ead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c61e-1d30-434f-bc23-5626878b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5d36c17c-05bf-4984-836d-d63f5eaff8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0fc6f0-7122-48e1-bb37-95aaf75eadc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87aed987-764f-4d2f-a67f-f85346f518b0}" ma:internalName="TaxCatchAll" ma:showField="CatchAllData" ma:web="530fc6f0-7122-48e1-bb37-95aaf75e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0fc6f0-7122-48e1-bb37-95aaf75eadc4" xsi:nil="true"/>
    <lcf76f155ced4ddcb4097134ff3c332f xmlns="6842c61e-1d30-434f-bc23-5626878b9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3D951-985C-464D-8D63-584E4C9B3D5F}"/>
</file>

<file path=customXml/itemProps2.xml><?xml version="1.0" encoding="utf-8"?>
<ds:datastoreItem xmlns:ds="http://schemas.openxmlformats.org/officeDocument/2006/customXml" ds:itemID="{5C0B0B83-8765-4D67-A391-AC7F23DE53F2}"/>
</file>

<file path=customXml/itemProps3.xml><?xml version="1.0" encoding="utf-8"?>
<ds:datastoreItem xmlns:ds="http://schemas.openxmlformats.org/officeDocument/2006/customXml" ds:itemID="{1CE30153-F702-418D-8784-011D21F01E61}"/>
</file>

<file path=docProps/app.xml><?xml version="1.0" encoding="utf-8"?>
<Properties xmlns="http://schemas.openxmlformats.org/officeDocument/2006/extended-properties" xmlns:vt="http://schemas.openxmlformats.org/officeDocument/2006/docPropsVTypes">
  <Template>Normal</Template>
  <TotalTime>52</TotalTime>
  <Pages>1</Pages>
  <Words>515</Words>
  <Characters>3041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 Alexandra</dc:creator>
  <cp:keywords/>
  <dc:description/>
  <cp:lastModifiedBy>Kozlova Alexandra</cp:lastModifiedBy>
  <cp:revision>2</cp:revision>
  <dcterms:created xsi:type="dcterms:W3CDTF">2024-12-20T06:31:00Z</dcterms:created>
  <dcterms:modified xsi:type="dcterms:W3CDTF">2024-12-20T07:23:00Z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0x0101006291BB4854424D4481F7DCD90F6D736C</vt:lpwstr>
  </property>
</Properties>
</file>